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65" w:rsidRDefault="00EF0065" w:rsidP="00454B74">
      <w:pPr>
        <w:ind w:firstLine="0"/>
        <w:jc w:val="both"/>
        <w:rPr>
          <w:noProof/>
          <w:sz w:val="24"/>
          <w:szCs w:val="24"/>
          <w:lang w:val="en-GB" w:eastAsia="en-GB" w:bidi="ar-SA"/>
        </w:rPr>
      </w:pPr>
    </w:p>
    <w:p w:rsidR="00B11160" w:rsidRDefault="00B11160" w:rsidP="00454B74">
      <w:pPr>
        <w:ind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11160" w:rsidRDefault="00B11160" w:rsidP="00B11160">
      <w:pPr>
        <w:ind w:firstLine="426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  <w:r>
        <w:rPr>
          <w:b/>
          <w:noProof/>
          <w:sz w:val="24"/>
          <w:szCs w:val="24"/>
          <w:u w:val="single"/>
          <w:lang w:val="en-GB" w:eastAsia="en-GB" w:bidi="ar-SA"/>
        </w:rPr>
        <w:t xml:space="preserve">2017 – 2018 </w:t>
      </w:r>
      <w:r w:rsidRPr="00B11160">
        <w:rPr>
          <w:b/>
          <w:noProof/>
          <w:sz w:val="24"/>
          <w:szCs w:val="24"/>
          <w:u w:val="single"/>
          <w:lang w:val="en-GB" w:eastAsia="en-GB" w:bidi="ar-SA"/>
        </w:rPr>
        <w:t>Year 7 Catch up Funding Strategy</w:t>
      </w:r>
      <w:r>
        <w:rPr>
          <w:b/>
          <w:noProof/>
          <w:sz w:val="24"/>
          <w:szCs w:val="24"/>
          <w:u w:val="single"/>
          <w:lang w:val="en-GB" w:eastAsia="en-GB" w:bidi="ar-SA"/>
        </w:rPr>
        <w:t xml:space="preserve"> </w:t>
      </w:r>
    </w:p>
    <w:p w:rsidR="00B11160" w:rsidRDefault="00B11160" w:rsidP="00454B74">
      <w:pPr>
        <w:ind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11160" w:rsidRDefault="00B11160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Those Year 7 students who enter secondary school having no</w:t>
      </w:r>
      <w:r w:rsidR="00014398">
        <w:rPr>
          <w:noProof/>
          <w:sz w:val="24"/>
          <w:szCs w:val="24"/>
          <w:lang w:val="en-GB" w:eastAsia="en-GB" w:bidi="ar-SA"/>
        </w:rPr>
        <w:t>t</w:t>
      </w:r>
      <w:r>
        <w:rPr>
          <w:noProof/>
          <w:sz w:val="24"/>
          <w:szCs w:val="24"/>
          <w:lang w:val="en-GB" w:eastAsia="en-GB" w:bidi="ar-SA"/>
        </w:rPr>
        <w:t xml:space="preserve"> reached the Age Related Expectation (ARE) in Literacy and Numeracy attract funding to support their catch up in secondary.  The funding is established at the same levels as 2015/16 with a % removed to account for differing numbers on roll.</w:t>
      </w:r>
    </w:p>
    <w:p w:rsidR="00B11160" w:rsidRDefault="00B11160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B11160" w:rsidRDefault="00B11160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The funding expected for Chamberlayne College for the Arts in 2017/2018 is </w:t>
      </w:r>
      <w:r w:rsidR="0074276F">
        <w:rPr>
          <w:noProof/>
          <w:sz w:val="24"/>
          <w:szCs w:val="24"/>
          <w:lang w:val="en-GB" w:eastAsia="en-GB" w:bidi="ar-SA"/>
        </w:rPr>
        <w:t xml:space="preserve">approximately </w:t>
      </w:r>
      <w:r>
        <w:rPr>
          <w:noProof/>
          <w:sz w:val="24"/>
          <w:szCs w:val="24"/>
          <w:lang w:val="en-GB" w:eastAsia="en-GB" w:bidi="ar-SA"/>
        </w:rPr>
        <w:t>£10,600.  The nu</w:t>
      </w:r>
      <w:r w:rsidR="00014398">
        <w:rPr>
          <w:noProof/>
          <w:sz w:val="24"/>
          <w:szCs w:val="24"/>
          <w:lang w:val="en-GB" w:eastAsia="en-GB" w:bidi="ar-SA"/>
        </w:rPr>
        <w:t>mber of students who en</w:t>
      </w:r>
      <w:r w:rsidR="0074276F">
        <w:rPr>
          <w:noProof/>
          <w:sz w:val="24"/>
          <w:szCs w:val="24"/>
          <w:lang w:val="en-GB" w:eastAsia="en-GB" w:bidi="ar-SA"/>
        </w:rPr>
        <w:t xml:space="preserve">tered Chamberlayne College </w:t>
      </w:r>
      <w:r>
        <w:rPr>
          <w:noProof/>
          <w:sz w:val="24"/>
          <w:szCs w:val="24"/>
          <w:lang w:val="en-GB" w:eastAsia="en-GB" w:bidi="ar-SA"/>
        </w:rPr>
        <w:t>below ARE i</w:t>
      </w:r>
      <w:r w:rsidR="00C67ACC">
        <w:rPr>
          <w:noProof/>
          <w:sz w:val="24"/>
          <w:szCs w:val="24"/>
          <w:lang w:val="en-GB" w:eastAsia="en-GB" w:bidi="ar-SA"/>
        </w:rPr>
        <w:t xml:space="preserve">n </w:t>
      </w:r>
      <w:r w:rsidR="0074276F">
        <w:rPr>
          <w:noProof/>
          <w:sz w:val="24"/>
          <w:szCs w:val="24"/>
          <w:lang w:val="en-GB" w:eastAsia="en-GB" w:bidi="ar-SA"/>
        </w:rPr>
        <w:t>r</w:t>
      </w:r>
      <w:r w:rsidR="00C67ACC">
        <w:rPr>
          <w:noProof/>
          <w:sz w:val="24"/>
          <w:szCs w:val="24"/>
          <w:lang w:val="en-GB" w:eastAsia="en-GB" w:bidi="ar-SA"/>
        </w:rPr>
        <w:t xml:space="preserve">eading is 34 and in numeracy is 44.  The number of students who entered below ARE in both reading and numeracy is 27.  </w:t>
      </w:r>
      <w:r>
        <w:rPr>
          <w:noProof/>
          <w:sz w:val="24"/>
          <w:szCs w:val="24"/>
          <w:lang w:val="en-GB" w:eastAsia="en-GB" w:bidi="ar-SA"/>
        </w:rPr>
        <w:t xml:space="preserve"> </w:t>
      </w:r>
      <w:r w:rsidR="00014398">
        <w:rPr>
          <w:noProof/>
          <w:sz w:val="24"/>
          <w:szCs w:val="24"/>
          <w:lang w:val="en-GB" w:eastAsia="en-GB" w:bidi="ar-SA"/>
        </w:rPr>
        <w:t>T</w:t>
      </w:r>
      <w:r>
        <w:rPr>
          <w:noProof/>
          <w:sz w:val="24"/>
          <w:szCs w:val="24"/>
          <w:lang w:val="en-GB" w:eastAsia="en-GB" w:bidi="ar-SA"/>
        </w:rPr>
        <w:t xml:space="preserve">his equates to </w:t>
      </w:r>
      <w:r w:rsidR="00C67ACC">
        <w:rPr>
          <w:noProof/>
          <w:sz w:val="24"/>
          <w:szCs w:val="24"/>
          <w:lang w:val="en-GB" w:eastAsia="en-GB" w:bidi="ar-SA"/>
        </w:rPr>
        <w:t xml:space="preserve">approximately </w:t>
      </w:r>
      <w:r>
        <w:rPr>
          <w:noProof/>
          <w:sz w:val="24"/>
          <w:szCs w:val="24"/>
          <w:lang w:val="en-GB" w:eastAsia="en-GB" w:bidi="ar-SA"/>
        </w:rPr>
        <w:t>£</w:t>
      </w:r>
      <w:r w:rsidR="00C67ACC">
        <w:rPr>
          <w:noProof/>
          <w:sz w:val="24"/>
          <w:szCs w:val="24"/>
          <w:lang w:val="en-GB" w:eastAsia="en-GB" w:bidi="ar-SA"/>
        </w:rPr>
        <w:t>240</w:t>
      </w:r>
      <w:r>
        <w:rPr>
          <w:noProof/>
          <w:sz w:val="24"/>
          <w:szCs w:val="24"/>
          <w:lang w:val="en-GB" w:eastAsia="en-GB" w:bidi="ar-SA"/>
        </w:rPr>
        <w:t xml:space="preserve"> per student.</w:t>
      </w:r>
      <w:r w:rsidR="00C67ACC">
        <w:rPr>
          <w:noProof/>
          <w:sz w:val="24"/>
          <w:szCs w:val="24"/>
          <w:lang w:val="en-GB" w:eastAsia="en-GB" w:bidi="ar-SA"/>
        </w:rPr>
        <w:t xml:space="preserve">  This funding is used </w:t>
      </w:r>
      <w:r w:rsidR="0074276F">
        <w:rPr>
          <w:noProof/>
          <w:sz w:val="24"/>
          <w:szCs w:val="24"/>
          <w:lang w:val="en-GB" w:eastAsia="en-GB" w:bidi="ar-SA"/>
        </w:rPr>
        <w:t xml:space="preserve">very specifically </w:t>
      </w:r>
      <w:r w:rsidR="00C67ACC">
        <w:rPr>
          <w:noProof/>
          <w:sz w:val="24"/>
          <w:szCs w:val="24"/>
          <w:lang w:val="en-GB" w:eastAsia="en-GB" w:bidi="ar-SA"/>
        </w:rPr>
        <w:t>to staff additional withdrawal and intervention groups.</w:t>
      </w:r>
      <w:r w:rsidR="0074276F">
        <w:rPr>
          <w:noProof/>
          <w:sz w:val="24"/>
          <w:szCs w:val="24"/>
          <w:lang w:val="en-GB" w:eastAsia="en-GB" w:bidi="ar-SA"/>
        </w:rPr>
        <w:t xml:space="preserve"> </w:t>
      </w:r>
    </w:p>
    <w:p w:rsidR="00B11160" w:rsidRDefault="00B11160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74276F" w:rsidRDefault="00B11160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Here at Chamberlayne</w:t>
      </w:r>
      <w:r w:rsidR="00014398">
        <w:rPr>
          <w:noProof/>
          <w:sz w:val="24"/>
          <w:szCs w:val="24"/>
          <w:lang w:val="en-GB" w:eastAsia="en-GB" w:bidi="ar-SA"/>
        </w:rPr>
        <w:t>,</w:t>
      </w:r>
      <w:r>
        <w:rPr>
          <w:noProof/>
          <w:sz w:val="24"/>
          <w:szCs w:val="24"/>
          <w:lang w:val="en-GB" w:eastAsia="en-GB" w:bidi="ar-SA"/>
        </w:rPr>
        <w:t xml:space="preserve"> we </w:t>
      </w:r>
      <w:r w:rsidR="00C67ACC">
        <w:rPr>
          <w:noProof/>
          <w:sz w:val="24"/>
          <w:szCs w:val="24"/>
          <w:lang w:val="en-GB" w:eastAsia="en-GB" w:bidi="ar-SA"/>
        </w:rPr>
        <w:t xml:space="preserve">believe that the best way to </w:t>
      </w:r>
      <w:r w:rsidR="00014398">
        <w:rPr>
          <w:noProof/>
          <w:sz w:val="24"/>
          <w:szCs w:val="24"/>
          <w:lang w:val="en-GB" w:eastAsia="en-GB" w:bidi="ar-SA"/>
        </w:rPr>
        <w:t>‘</w:t>
      </w:r>
      <w:r w:rsidR="00C67ACC">
        <w:rPr>
          <w:noProof/>
          <w:sz w:val="24"/>
          <w:szCs w:val="24"/>
          <w:lang w:val="en-GB" w:eastAsia="en-GB" w:bidi="ar-SA"/>
        </w:rPr>
        <w:t>catch up</w:t>
      </w:r>
      <w:r w:rsidR="00014398">
        <w:rPr>
          <w:noProof/>
          <w:sz w:val="24"/>
          <w:szCs w:val="24"/>
          <w:lang w:val="en-GB" w:eastAsia="en-GB" w:bidi="ar-SA"/>
        </w:rPr>
        <w:t xml:space="preserve">’ and ‘keep up’ is to experience quality first teaching.  However, to speed up the ‘catch up’ process we operate very </w:t>
      </w:r>
      <w:r w:rsidR="0074276F">
        <w:rPr>
          <w:noProof/>
          <w:sz w:val="24"/>
          <w:szCs w:val="24"/>
          <w:lang w:val="en-GB" w:eastAsia="en-GB" w:bidi="ar-SA"/>
        </w:rPr>
        <w:t>well targeted</w:t>
      </w:r>
      <w:r w:rsidR="00014398">
        <w:rPr>
          <w:noProof/>
          <w:sz w:val="24"/>
          <w:szCs w:val="24"/>
          <w:lang w:val="en-GB" w:eastAsia="en-GB" w:bidi="ar-SA"/>
        </w:rPr>
        <w:t>,</w:t>
      </w:r>
      <w:r w:rsidR="0074276F">
        <w:rPr>
          <w:noProof/>
          <w:sz w:val="24"/>
          <w:szCs w:val="24"/>
          <w:lang w:val="en-GB" w:eastAsia="en-GB" w:bidi="ar-SA"/>
        </w:rPr>
        <w:t xml:space="preserve"> withdrawal</w:t>
      </w:r>
      <w:r w:rsidR="00C67ACC">
        <w:rPr>
          <w:noProof/>
          <w:sz w:val="24"/>
          <w:szCs w:val="24"/>
          <w:lang w:val="en-GB" w:eastAsia="en-GB" w:bidi="ar-SA"/>
        </w:rPr>
        <w:t xml:space="preserve"> intervention </w:t>
      </w:r>
      <w:r w:rsidR="0074276F">
        <w:rPr>
          <w:noProof/>
          <w:sz w:val="24"/>
          <w:szCs w:val="24"/>
          <w:lang w:val="en-GB" w:eastAsia="en-GB" w:bidi="ar-SA"/>
        </w:rPr>
        <w:t xml:space="preserve">which is </w:t>
      </w:r>
      <w:r w:rsidR="00C67ACC">
        <w:rPr>
          <w:noProof/>
          <w:sz w:val="24"/>
          <w:szCs w:val="24"/>
          <w:lang w:val="en-GB" w:eastAsia="en-GB" w:bidi="ar-SA"/>
        </w:rPr>
        <w:t>heavily focused on specifc need.</w:t>
      </w:r>
      <w:r>
        <w:rPr>
          <w:noProof/>
          <w:sz w:val="24"/>
          <w:szCs w:val="24"/>
          <w:lang w:val="en-GB" w:eastAsia="en-GB" w:bidi="ar-SA"/>
        </w:rPr>
        <w:t xml:space="preserve"> </w:t>
      </w:r>
      <w:r w:rsidR="0074276F">
        <w:rPr>
          <w:noProof/>
          <w:sz w:val="24"/>
          <w:szCs w:val="24"/>
          <w:lang w:val="en-GB" w:eastAsia="en-GB" w:bidi="ar-SA"/>
        </w:rPr>
        <w:t>This intervention runs for 6 weeks and students are assessed for progress throughout.</w:t>
      </w:r>
    </w:p>
    <w:p w:rsidR="0074276F" w:rsidRDefault="0074276F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74276F" w:rsidRDefault="00C67ACC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Depending on the </w:t>
      </w:r>
      <w:r w:rsidR="0074276F">
        <w:rPr>
          <w:noProof/>
          <w:sz w:val="24"/>
          <w:szCs w:val="24"/>
          <w:lang w:val="en-GB" w:eastAsia="en-GB" w:bidi="ar-SA"/>
        </w:rPr>
        <w:t xml:space="preserve">level and/or </w:t>
      </w:r>
      <w:r>
        <w:rPr>
          <w:noProof/>
          <w:sz w:val="24"/>
          <w:szCs w:val="24"/>
          <w:lang w:val="en-GB" w:eastAsia="en-GB" w:bidi="ar-SA"/>
        </w:rPr>
        <w:t xml:space="preserve">of intervention required,it will be led by either a qualified maths / English teacher or a well qualified and experienced Higher Level Teaching Assistant </w:t>
      </w:r>
      <w:r w:rsidR="0074276F">
        <w:rPr>
          <w:noProof/>
          <w:sz w:val="24"/>
          <w:szCs w:val="24"/>
          <w:lang w:val="en-GB" w:eastAsia="en-GB" w:bidi="ar-SA"/>
        </w:rPr>
        <w:t xml:space="preserve">(English / Maths).  All intervention is moderated and monitored by the Director of English and </w:t>
      </w:r>
      <w:r w:rsidR="00014398">
        <w:rPr>
          <w:noProof/>
          <w:sz w:val="24"/>
          <w:szCs w:val="24"/>
          <w:lang w:val="en-GB" w:eastAsia="en-GB" w:bidi="ar-SA"/>
        </w:rPr>
        <w:t xml:space="preserve">Literacy (Ms Cole) and the Director of </w:t>
      </w:r>
      <w:r w:rsidR="0074276F">
        <w:rPr>
          <w:noProof/>
          <w:sz w:val="24"/>
          <w:szCs w:val="24"/>
          <w:lang w:val="en-GB" w:eastAsia="en-GB" w:bidi="ar-SA"/>
        </w:rPr>
        <w:t>maths</w:t>
      </w:r>
      <w:r w:rsidR="00014398">
        <w:rPr>
          <w:noProof/>
          <w:sz w:val="24"/>
          <w:szCs w:val="24"/>
          <w:lang w:val="en-GB" w:eastAsia="en-GB" w:bidi="ar-SA"/>
        </w:rPr>
        <w:t xml:space="preserve"> and numeracy</w:t>
      </w:r>
      <w:r w:rsidR="0074276F">
        <w:rPr>
          <w:noProof/>
          <w:sz w:val="24"/>
          <w:szCs w:val="24"/>
          <w:lang w:val="en-GB" w:eastAsia="en-GB" w:bidi="ar-SA"/>
        </w:rPr>
        <w:t xml:space="preserve"> </w:t>
      </w:r>
      <w:r w:rsidR="00014398">
        <w:rPr>
          <w:noProof/>
          <w:sz w:val="24"/>
          <w:szCs w:val="24"/>
          <w:lang w:val="en-GB" w:eastAsia="en-GB" w:bidi="ar-SA"/>
        </w:rPr>
        <w:t xml:space="preserve">(Mr Dyer) </w:t>
      </w:r>
      <w:r w:rsidR="0074276F">
        <w:rPr>
          <w:noProof/>
          <w:sz w:val="24"/>
          <w:szCs w:val="24"/>
          <w:lang w:val="en-GB" w:eastAsia="en-GB" w:bidi="ar-SA"/>
        </w:rPr>
        <w:t xml:space="preserve">with </w:t>
      </w:r>
      <w:r w:rsidR="00014398">
        <w:rPr>
          <w:noProof/>
          <w:sz w:val="24"/>
          <w:szCs w:val="24"/>
          <w:lang w:val="en-GB" w:eastAsia="en-GB" w:bidi="ar-SA"/>
        </w:rPr>
        <w:t xml:space="preserve">strategic </w:t>
      </w:r>
      <w:r w:rsidR="0074276F">
        <w:rPr>
          <w:noProof/>
          <w:sz w:val="24"/>
          <w:szCs w:val="24"/>
          <w:lang w:val="en-GB" w:eastAsia="en-GB" w:bidi="ar-SA"/>
        </w:rPr>
        <w:t>oversight be</w:t>
      </w:r>
      <w:r w:rsidR="00014398">
        <w:rPr>
          <w:noProof/>
          <w:sz w:val="24"/>
          <w:szCs w:val="24"/>
          <w:lang w:val="en-GB" w:eastAsia="en-GB" w:bidi="ar-SA"/>
        </w:rPr>
        <w:t>ing held by the Associate Headt</w:t>
      </w:r>
      <w:r w:rsidR="0074276F">
        <w:rPr>
          <w:noProof/>
          <w:sz w:val="24"/>
          <w:szCs w:val="24"/>
          <w:lang w:val="en-GB" w:eastAsia="en-GB" w:bidi="ar-SA"/>
        </w:rPr>
        <w:t>e</w:t>
      </w:r>
      <w:r w:rsidR="00014398">
        <w:rPr>
          <w:noProof/>
          <w:sz w:val="24"/>
          <w:szCs w:val="24"/>
          <w:lang w:val="en-GB" w:eastAsia="en-GB" w:bidi="ar-SA"/>
        </w:rPr>
        <w:t>a</w:t>
      </w:r>
      <w:r w:rsidR="0074276F">
        <w:rPr>
          <w:noProof/>
          <w:sz w:val="24"/>
          <w:szCs w:val="24"/>
          <w:lang w:val="en-GB" w:eastAsia="en-GB" w:bidi="ar-SA"/>
        </w:rPr>
        <w:t>cher</w:t>
      </w:r>
      <w:r w:rsidR="00014398">
        <w:rPr>
          <w:noProof/>
          <w:sz w:val="24"/>
          <w:szCs w:val="24"/>
          <w:lang w:val="en-GB" w:eastAsia="en-GB" w:bidi="ar-SA"/>
        </w:rPr>
        <w:t>, Mrs Keyse</w:t>
      </w:r>
      <w:r w:rsidR="0074276F">
        <w:rPr>
          <w:noProof/>
          <w:sz w:val="24"/>
          <w:szCs w:val="24"/>
          <w:lang w:val="en-GB" w:eastAsia="en-GB" w:bidi="ar-SA"/>
        </w:rPr>
        <w:t>.</w:t>
      </w:r>
      <w:r w:rsidR="00B11160">
        <w:rPr>
          <w:noProof/>
          <w:sz w:val="24"/>
          <w:szCs w:val="24"/>
          <w:lang w:val="en-GB" w:eastAsia="en-GB" w:bidi="ar-SA"/>
        </w:rPr>
        <w:t xml:space="preserve"> </w:t>
      </w:r>
      <w:r w:rsidR="0074276F">
        <w:rPr>
          <w:noProof/>
          <w:sz w:val="24"/>
          <w:szCs w:val="24"/>
          <w:lang w:val="en-GB" w:eastAsia="en-GB" w:bidi="ar-SA"/>
        </w:rPr>
        <w:t xml:space="preserve"> </w:t>
      </w:r>
    </w:p>
    <w:p w:rsidR="00B11160" w:rsidRDefault="00B11160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C67ACC" w:rsidRDefault="0074276F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Due to our belief that we are held account</w:t>
      </w:r>
      <w:r w:rsidR="00014398">
        <w:rPr>
          <w:noProof/>
          <w:sz w:val="24"/>
          <w:szCs w:val="24"/>
          <w:lang w:val="en-GB" w:eastAsia="en-GB" w:bidi="ar-SA"/>
        </w:rPr>
        <w:t xml:space="preserve">able first and foremost </w:t>
      </w:r>
      <w:r>
        <w:rPr>
          <w:noProof/>
          <w:sz w:val="24"/>
          <w:szCs w:val="24"/>
          <w:lang w:val="en-GB" w:eastAsia="en-GB" w:bidi="ar-SA"/>
        </w:rPr>
        <w:t xml:space="preserve">by </w:t>
      </w:r>
      <w:r w:rsidR="00014398">
        <w:rPr>
          <w:noProof/>
          <w:sz w:val="24"/>
          <w:szCs w:val="24"/>
          <w:lang w:val="en-GB" w:eastAsia="en-GB" w:bidi="ar-SA"/>
        </w:rPr>
        <w:t xml:space="preserve">the </w:t>
      </w:r>
      <w:r>
        <w:rPr>
          <w:noProof/>
          <w:sz w:val="24"/>
          <w:szCs w:val="24"/>
          <w:lang w:val="en-GB" w:eastAsia="en-GB" w:bidi="ar-SA"/>
        </w:rPr>
        <w:t>families</w:t>
      </w:r>
      <w:r w:rsidR="00014398">
        <w:rPr>
          <w:noProof/>
          <w:sz w:val="24"/>
          <w:szCs w:val="24"/>
          <w:lang w:val="en-GB" w:eastAsia="en-GB" w:bidi="ar-SA"/>
        </w:rPr>
        <w:t xml:space="preserve"> that we serve</w:t>
      </w:r>
      <w:r>
        <w:rPr>
          <w:noProof/>
          <w:sz w:val="24"/>
          <w:szCs w:val="24"/>
          <w:lang w:val="en-GB" w:eastAsia="en-GB" w:bidi="ar-SA"/>
        </w:rPr>
        <w:t>, a</w:t>
      </w:r>
      <w:r w:rsidR="00B11160">
        <w:rPr>
          <w:noProof/>
          <w:sz w:val="24"/>
          <w:szCs w:val="24"/>
          <w:lang w:val="en-GB" w:eastAsia="en-GB" w:bidi="ar-SA"/>
        </w:rPr>
        <w:t xml:space="preserve">ll work </w:t>
      </w:r>
      <w:r>
        <w:rPr>
          <w:noProof/>
          <w:sz w:val="24"/>
          <w:szCs w:val="24"/>
          <w:lang w:val="en-GB" w:eastAsia="en-GB" w:bidi="ar-SA"/>
        </w:rPr>
        <w:t xml:space="preserve">and progress </w:t>
      </w:r>
      <w:r w:rsidR="00B11160">
        <w:rPr>
          <w:noProof/>
          <w:sz w:val="24"/>
          <w:szCs w:val="24"/>
          <w:lang w:val="en-GB" w:eastAsia="en-GB" w:bidi="ar-SA"/>
        </w:rPr>
        <w:t xml:space="preserve">is available </w:t>
      </w:r>
      <w:r>
        <w:rPr>
          <w:noProof/>
          <w:sz w:val="24"/>
          <w:szCs w:val="24"/>
          <w:lang w:val="en-GB" w:eastAsia="en-GB" w:bidi="ar-SA"/>
        </w:rPr>
        <w:t xml:space="preserve">for parents </w:t>
      </w:r>
      <w:r w:rsidR="00B11160">
        <w:rPr>
          <w:noProof/>
          <w:sz w:val="24"/>
          <w:szCs w:val="24"/>
          <w:lang w:val="en-GB" w:eastAsia="en-GB" w:bidi="ar-SA"/>
        </w:rPr>
        <w:t>to see</w:t>
      </w:r>
      <w:r w:rsidR="00014398">
        <w:rPr>
          <w:noProof/>
          <w:sz w:val="24"/>
          <w:szCs w:val="24"/>
          <w:lang w:val="en-GB" w:eastAsia="en-GB" w:bidi="ar-SA"/>
        </w:rPr>
        <w:t xml:space="preserve"> and all learning will be communicated with parents regularly</w:t>
      </w:r>
      <w:r>
        <w:rPr>
          <w:noProof/>
          <w:sz w:val="24"/>
          <w:szCs w:val="24"/>
          <w:lang w:val="en-GB" w:eastAsia="en-GB" w:bidi="ar-SA"/>
        </w:rPr>
        <w:t>.  S</w:t>
      </w:r>
      <w:r w:rsidR="00B11160">
        <w:rPr>
          <w:noProof/>
          <w:sz w:val="24"/>
          <w:szCs w:val="24"/>
          <w:lang w:val="en-GB" w:eastAsia="en-GB" w:bidi="ar-SA"/>
        </w:rPr>
        <w:t>tudents are restested at the end of their 6 week programme.</w:t>
      </w:r>
      <w:r>
        <w:rPr>
          <w:noProof/>
          <w:sz w:val="24"/>
          <w:szCs w:val="24"/>
          <w:lang w:val="en-GB" w:eastAsia="en-GB" w:bidi="ar-SA"/>
        </w:rPr>
        <w:t xml:space="preserve">  Parents are kept up to date on progress and throughout the programme</w:t>
      </w:r>
      <w:r w:rsidR="00014398">
        <w:rPr>
          <w:noProof/>
          <w:sz w:val="24"/>
          <w:szCs w:val="24"/>
          <w:lang w:val="en-GB" w:eastAsia="en-GB" w:bidi="ar-SA"/>
        </w:rPr>
        <w:t xml:space="preserve"> with a full report at the end</w:t>
      </w:r>
      <w:r>
        <w:rPr>
          <w:noProof/>
          <w:sz w:val="24"/>
          <w:szCs w:val="24"/>
          <w:lang w:val="en-GB" w:eastAsia="en-GB" w:bidi="ar-SA"/>
        </w:rPr>
        <w:t>.</w:t>
      </w:r>
    </w:p>
    <w:p w:rsidR="00C67ACC" w:rsidRDefault="00C67ACC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C67ACC" w:rsidRDefault="00C67ACC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In addition </w:t>
      </w:r>
      <w:r w:rsidR="0074276F">
        <w:rPr>
          <w:noProof/>
          <w:sz w:val="24"/>
          <w:szCs w:val="24"/>
          <w:lang w:val="en-GB" w:eastAsia="en-GB" w:bidi="ar-SA"/>
        </w:rPr>
        <w:t xml:space="preserve">to withdrawal intervention (wave 3) </w:t>
      </w:r>
      <w:r>
        <w:rPr>
          <w:noProof/>
          <w:sz w:val="24"/>
          <w:szCs w:val="24"/>
          <w:lang w:val="en-GB" w:eastAsia="en-GB" w:bidi="ar-SA"/>
        </w:rPr>
        <w:t xml:space="preserve">all Year 7 students whose reading age is well below their chronological age will spend time reading with their English teacher regularly, in order to help them catch </w:t>
      </w:r>
      <w:r w:rsidR="00014398">
        <w:rPr>
          <w:noProof/>
          <w:sz w:val="24"/>
          <w:szCs w:val="24"/>
          <w:lang w:val="en-GB" w:eastAsia="en-GB" w:bidi="ar-SA"/>
        </w:rPr>
        <w:t xml:space="preserve">their peers </w:t>
      </w:r>
      <w:r>
        <w:rPr>
          <w:noProof/>
          <w:sz w:val="24"/>
          <w:szCs w:val="24"/>
          <w:lang w:val="en-GB" w:eastAsia="en-GB" w:bidi="ar-SA"/>
        </w:rPr>
        <w:t>up quicker.</w:t>
      </w:r>
    </w:p>
    <w:p w:rsidR="0074276F" w:rsidRDefault="0074276F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B11160" w:rsidRDefault="0074276F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Parents who believe their child needs some specific support or can provide further information to help support their child catch up are </w:t>
      </w:r>
      <w:r w:rsidR="00014398">
        <w:rPr>
          <w:noProof/>
          <w:sz w:val="24"/>
          <w:szCs w:val="24"/>
          <w:lang w:val="en-GB" w:eastAsia="en-GB" w:bidi="ar-SA"/>
        </w:rPr>
        <w:t xml:space="preserve">very much </w:t>
      </w:r>
      <w:r>
        <w:rPr>
          <w:noProof/>
          <w:sz w:val="24"/>
          <w:szCs w:val="24"/>
          <w:lang w:val="en-GB" w:eastAsia="en-GB" w:bidi="ar-SA"/>
        </w:rPr>
        <w:t>encouraged to</w:t>
      </w:r>
      <w:r w:rsidR="00014398">
        <w:rPr>
          <w:noProof/>
          <w:sz w:val="24"/>
          <w:szCs w:val="24"/>
          <w:lang w:val="en-GB" w:eastAsia="en-GB" w:bidi="ar-SA"/>
        </w:rPr>
        <w:t xml:space="preserve"> contact Ms Cole and Mr Dyer</w:t>
      </w:r>
      <w:r>
        <w:rPr>
          <w:noProof/>
          <w:sz w:val="24"/>
          <w:szCs w:val="24"/>
          <w:lang w:val="en-GB" w:eastAsia="en-GB" w:bidi="ar-SA"/>
        </w:rPr>
        <w:t>.</w:t>
      </w:r>
      <w:r w:rsidR="00C67ACC">
        <w:rPr>
          <w:noProof/>
          <w:sz w:val="24"/>
          <w:szCs w:val="24"/>
          <w:lang w:val="en-GB" w:eastAsia="en-GB" w:bidi="ar-SA"/>
        </w:rPr>
        <w:t xml:space="preserve"> </w:t>
      </w:r>
      <w:r w:rsidR="00B11160">
        <w:rPr>
          <w:noProof/>
          <w:sz w:val="24"/>
          <w:szCs w:val="24"/>
          <w:lang w:val="en-GB" w:eastAsia="en-GB" w:bidi="ar-SA"/>
        </w:rPr>
        <w:t xml:space="preserve">  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  <w:r w:rsidRPr="00BE156A">
        <w:rPr>
          <w:b/>
          <w:noProof/>
          <w:sz w:val="24"/>
          <w:szCs w:val="24"/>
          <w:u w:val="single"/>
          <w:lang w:val="en-GB" w:eastAsia="en-GB" w:bidi="ar-SA"/>
        </w:rPr>
        <w:t>Specific Use of Funds 2017/18:</w:t>
      </w:r>
    </w:p>
    <w:p w:rsidR="00BE156A" w:rsidRDefault="00BE156A" w:rsidP="00B11160">
      <w:pPr>
        <w:ind w:left="426" w:firstLine="0"/>
        <w:jc w:val="both"/>
        <w:rPr>
          <w:b/>
          <w:noProof/>
          <w:sz w:val="24"/>
          <w:szCs w:val="24"/>
          <w:u w:val="single"/>
          <w:lang w:val="en-GB" w:eastAsia="en-GB" w:bidi="ar-SA"/>
        </w:rPr>
      </w:pP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Forecast amount of catch Up funding: £10k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Number of students in need of catch up &lt;100 on scaled standardised scoring: 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Reading 34/73(47%) 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Numeracy: 44/73(60%)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1D270C" w:rsidRDefault="001D270C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bookmarkStart w:id="0" w:name="_GoBack"/>
      <w:bookmarkEnd w:id="0"/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 xml:space="preserve">Literacy Catch Up:£6,500 (wave 3 reading intervention clases – Qualified Teacher and HLTA) 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Numeracy Catch Up: £3,500 (in class support; wave 3 intervention Summer term – HLTA and Qualified teacher from Summer)</w:t>
      </w:r>
    </w:p>
    <w:p w:rsid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</w:p>
    <w:p w:rsidR="00BE156A" w:rsidRPr="00BE156A" w:rsidRDefault="00BE156A" w:rsidP="00B11160">
      <w:pPr>
        <w:ind w:left="426" w:firstLine="0"/>
        <w:jc w:val="both"/>
        <w:rPr>
          <w:noProof/>
          <w:sz w:val="24"/>
          <w:szCs w:val="24"/>
          <w:lang w:val="en-GB" w:eastAsia="en-GB" w:bidi="ar-SA"/>
        </w:rPr>
      </w:pPr>
      <w:r>
        <w:rPr>
          <w:noProof/>
          <w:sz w:val="24"/>
          <w:szCs w:val="24"/>
          <w:lang w:val="en-GB" w:eastAsia="en-GB" w:bidi="ar-SA"/>
        </w:rPr>
        <w:t>Impact statements presented to governors in Jul 2018.</w:t>
      </w:r>
    </w:p>
    <w:sectPr w:rsidR="00BE156A" w:rsidRPr="00BE156A" w:rsidSect="0074276F">
      <w:headerReference w:type="default" r:id="rId7"/>
      <w:footerReference w:type="default" r:id="rId8"/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26" w:rsidRDefault="001B4E26" w:rsidP="00583559">
      <w:r>
        <w:separator/>
      </w:r>
    </w:p>
  </w:endnote>
  <w:endnote w:type="continuationSeparator" w:id="0">
    <w:p w:rsidR="001B4E26" w:rsidRDefault="001B4E26" w:rsidP="005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A6" w:rsidRDefault="00133BA6" w:rsidP="00133BA6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133BA6" w:rsidRPr="007F19CB" w:rsidTr="0021061F">
      <w:tc>
        <w:tcPr>
          <w:tcW w:w="4508" w:type="dxa"/>
        </w:tcPr>
        <w:p w:rsidR="00133BA6" w:rsidRPr="007F19CB" w:rsidRDefault="00133BA6" w:rsidP="00133BA6">
          <w:pPr>
            <w:pStyle w:val="Footer"/>
            <w:rPr>
              <w:rFonts w:cs="Arial"/>
              <w:color w:val="2F5496" w:themeColor="accent5" w:themeShade="BF"/>
              <w:sz w:val="16"/>
              <w:szCs w:val="16"/>
            </w:rPr>
          </w:pPr>
          <w:proofErr w:type="spellStart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Tick</w:t>
          </w:r>
          <w:r w:rsidR="0021061F" w:rsidRPr="007F19CB">
            <w:rPr>
              <w:rFonts w:cs="Arial"/>
              <w:color w:val="2F5496" w:themeColor="accent5" w:themeShade="BF"/>
              <w:sz w:val="16"/>
              <w:szCs w:val="16"/>
            </w:rPr>
            <w:t>le</w:t>
          </w:r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ford</w:t>
          </w:r>
          <w:proofErr w:type="spellEnd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133BA6" w:rsidRPr="007F19CB" w:rsidRDefault="00133BA6" w:rsidP="00133BA6">
          <w:pPr>
            <w:pStyle w:val="Footer"/>
            <w:rPr>
              <w:rFonts w:cs="Arial"/>
              <w:color w:val="2F5496" w:themeColor="accent5" w:themeShade="BF"/>
              <w:sz w:val="16"/>
              <w:szCs w:val="16"/>
            </w:rPr>
          </w:pPr>
          <w:proofErr w:type="spellStart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133BA6" w:rsidRPr="007F19CB" w:rsidRDefault="00133BA6" w:rsidP="00133BA6">
          <w:pPr>
            <w:pStyle w:val="Footer"/>
            <w:rPr>
              <w:rFonts w:cs="Arial"/>
              <w:color w:val="2F5496" w:themeColor="accent5" w:themeShade="BF"/>
              <w:sz w:val="16"/>
              <w:szCs w:val="16"/>
            </w:rPr>
          </w:pPr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133BA6" w:rsidRPr="007F19CB" w:rsidRDefault="00133BA6" w:rsidP="00133BA6">
          <w:pPr>
            <w:pStyle w:val="Footer"/>
            <w:jc w:val="right"/>
            <w:rPr>
              <w:rFonts w:cs="Arial"/>
              <w:color w:val="2F5496" w:themeColor="accent5" w:themeShade="BF"/>
              <w:sz w:val="16"/>
              <w:szCs w:val="16"/>
            </w:rPr>
          </w:pPr>
          <w:proofErr w:type="spellStart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133BA6" w:rsidRPr="007F19CB" w:rsidRDefault="00133BA6" w:rsidP="00133BA6">
          <w:pPr>
            <w:pStyle w:val="Footer"/>
            <w:jc w:val="right"/>
            <w:rPr>
              <w:rFonts w:cs="Arial"/>
              <w:color w:val="2F5496" w:themeColor="accent5" w:themeShade="BF"/>
              <w:sz w:val="16"/>
              <w:szCs w:val="16"/>
            </w:rPr>
          </w:pPr>
          <w:r w:rsidRPr="007F19CB">
            <w:rPr>
              <w:rFonts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F19CB">
            <w:rPr>
              <w:rFonts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3BA6" w:rsidRPr="007F19CB" w:rsidRDefault="00133BA6" w:rsidP="00133BA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26" w:rsidRDefault="001B4E26" w:rsidP="00583559">
      <w:r>
        <w:separator/>
      </w:r>
    </w:p>
  </w:footnote>
  <w:footnote w:type="continuationSeparator" w:id="0">
    <w:p w:rsidR="001B4E26" w:rsidRDefault="001B4E26" w:rsidP="0058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E3" w:rsidRDefault="00BA7451" w:rsidP="0058355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FD91AF" wp14:editId="47CAB493">
          <wp:extent cx="250937" cy="2667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559" w:rsidRDefault="00583559" w:rsidP="00583559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 w:rsidRPr="00583559"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583559" w:rsidRDefault="00583559" w:rsidP="00583559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68790E" w:rsidRPr="007F19CB" w:rsidRDefault="001B4E26" w:rsidP="00583559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68790E" w:rsidRPr="007F19CB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583559" w:rsidRPr="00583559" w:rsidRDefault="0021061F" w:rsidP="00583559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9"/>
    <w:rsid w:val="00014398"/>
    <w:rsid w:val="00066C92"/>
    <w:rsid w:val="00133BA6"/>
    <w:rsid w:val="00182A1D"/>
    <w:rsid w:val="001B4E26"/>
    <w:rsid w:val="001D270C"/>
    <w:rsid w:val="0021061F"/>
    <w:rsid w:val="003B65D2"/>
    <w:rsid w:val="0042274A"/>
    <w:rsid w:val="00454B74"/>
    <w:rsid w:val="004677E9"/>
    <w:rsid w:val="004779B6"/>
    <w:rsid w:val="004A0DB4"/>
    <w:rsid w:val="00517B48"/>
    <w:rsid w:val="00583559"/>
    <w:rsid w:val="0068790E"/>
    <w:rsid w:val="007106DF"/>
    <w:rsid w:val="0074276F"/>
    <w:rsid w:val="0078773C"/>
    <w:rsid w:val="0079109F"/>
    <w:rsid w:val="007A7A33"/>
    <w:rsid w:val="007B3A5D"/>
    <w:rsid w:val="007F19CB"/>
    <w:rsid w:val="0089383B"/>
    <w:rsid w:val="009446ED"/>
    <w:rsid w:val="00AA6C7D"/>
    <w:rsid w:val="00B11160"/>
    <w:rsid w:val="00B96B40"/>
    <w:rsid w:val="00BA7451"/>
    <w:rsid w:val="00BE155A"/>
    <w:rsid w:val="00BE156A"/>
    <w:rsid w:val="00C07668"/>
    <w:rsid w:val="00C67ACC"/>
    <w:rsid w:val="00C73EE3"/>
    <w:rsid w:val="00D80234"/>
    <w:rsid w:val="00EF0065"/>
    <w:rsid w:val="00F5061E"/>
    <w:rsid w:val="00F71260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55628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74"/>
    <w:pPr>
      <w:spacing w:after="0" w:line="240" w:lineRule="auto"/>
      <w:ind w:right="227" w:firstLine="357"/>
    </w:pPr>
    <w:rPr>
      <w:rFonts w:ascii="Arial" w:eastAsiaTheme="minorEastAsia" w:hAnsi="Arial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9"/>
    <w:pPr>
      <w:tabs>
        <w:tab w:val="center" w:pos="4513"/>
        <w:tab w:val="right" w:pos="9026"/>
      </w:tabs>
      <w:ind w:right="0" w:firstLine="0"/>
    </w:pPr>
    <w:rPr>
      <w:rFonts w:asciiTheme="minorHAnsi" w:eastAsiaTheme="minorHAnsi" w:hAnsiTheme="minorHAns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83559"/>
  </w:style>
  <w:style w:type="paragraph" w:styleId="Footer">
    <w:name w:val="footer"/>
    <w:basedOn w:val="Normal"/>
    <w:link w:val="FooterChar"/>
    <w:uiPriority w:val="99"/>
    <w:unhideWhenUsed/>
    <w:qFormat/>
    <w:rsid w:val="00583559"/>
    <w:pPr>
      <w:tabs>
        <w:tab w:val="center" w:pos="4513"/>
        <w:tab w:val="right" w:pos="9026"/>
      </w:tabs>
      <w:ind w:right="0" w:firstLine="0"/>
    </w:pPr>
    <w:rPr>
      <w:rFonts w:asciiTheme="minorHAnsi" w:eastAsiaTheme="minorHAnsi" w:hAnsiTheme="minorHAns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83559"/>
  </w:style>
  <w:style w:type="character" w:styleId="Hyperlink">
    <w:name w:val="Hyperlink"/>
    <w:basedOn w:val="DefaultParagraphFont"/>
    <w:uiPriority w:val="99"/>
    <w:unhideWhenUsed/>
    <w:rsid w:val="00687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1061F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10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273B-7D6F-4FF6-B6DA-3F2EE88D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Nick Giles</cp:lastModifiedBy>
  <cp:revision>2</cp:revision>
  <cp:lastPrinted>2017-10-15T11:09:00Z</cp:lastPrinted>
  <dcterms:created xsi:type="dcterms:W3CDTF">2018-06-20T06:40:00Z</dcterms:created>
  <dcterms:modified xsi:type="dcterms:W3CDTF">2018-06-20T06:40:00Z</dcterms:modified>
</cp:coreProperties>
</file>