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B5" w:rsidRDefault="003C12B5" w:rsidP="003C12B5">
      <w:pPr>
        <w:jc w:val="both"/>
        <w:rPr>
          <w:rFonts w:ascii="Calibri" w:eastAsia="Times New Roman" w:hAnsi="Calibri" w:cs="Calibri"/>
          <w:b/>
          <w:lang w:eastAsia="en-GB"/>
        </w:rPr>
      </w:pPr>
    </w:p>
    <w:p w:rsidR="007D353A" w:rsidRDefault="007D353A" w:rsidP="007D353A">
      <w:pPr>
        <w:ind w:left="-284"/>
        <w:jc w:val="both"/>
        <w:rPr>
          <w:b/>
        </w:rPr>
      </w:pPr>
      <w:r w:rsidRPr="00953BFF">
        <w:rPr>
          <w:b/>
        </w:rPr>
        <w:t>PERSON SPECIFICATION</w:t>
      </w:r>
    </w:p>
    <w:p w:rsidR="007D353A" w:rsidRPr="00953BFF" w:rsidRDefault="007D353A" w:rsidP="007D353A">
      <w:pPr>
        <w:ind w:left="-284"/>
        <w:jc w:val="both"/>
        <w:rPr>
          <w:b/>
        </w:rPr>
      </w:pPr>
      <w:bookmarkStart w:id="0" w:name="_GoBack"/>
      <w:bookmarkEnd w:id="0"/>
    </w:p>
    <w:p w:rsidR="007D353A" w:rsidRPr="00953BFF" w:rsidRDefault="007D353A" w:rsidP="007D353A">
      <w:pPr>
        <w:ind w:left="-284"/>
        <w:jc w:val="both"/>
        <w:rPr>
          <w:b/>
        </w:rPr>
      </w:pPr>
      <w:r w:rsidRPr="00953BFF">
        <w:rPr>
          <w:b/>
        </w:rPr>
        <w:t>Job Role: Cover Supervisor</w:t>
      </w:r>
    </w:p>
    <w:p w:rsidR="007D353A" w:rsidRPr="00953BFF" w:rsidRDefault="007D353A" w:rsidP="007D353A">
      <w:pPr>
        <w:jc w:val="both"/>
      </w:pPr>
    </w:p>
    <w:tbl>
      <w:tblPr>
        <w:tblW w:w="1035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9"/>
        <w:gridCol w:w="1094"/>
        <w:gridCol w:w="1156"/>
      </w:tblGrid>
      <w:tr w:rsidR="007D353A" w:rsidRPr="00953BFF" w:rsidTr="00C92D08">
        <w:trPr>
          <w:trHeight w:val="195"/>
        </w:trPr>
        <w:tc>
          <w:tcPr>
            <w:tcW w:w="8261" w:type="dxa"/>
            <w:shd w:val="clear" w:color="auto" w:fill="D9D9D9" w:themeFill="background1" w:themeFillShade="D9"/>
          </w:tcPr>
          <w:p w:rsidR="007D353A" w:rsidRPr="00953BFF" w:rsidRDefault="007D353A" w:rsidP="00C92D08">
            <w:pPr>
              <w:ind w:left="294"/>
              <w:rPr>
                <w:b/>
              </w:rPr>
            </w:pPr>
            <w:r w:rsidRPr="00953BFF">
              <w:rPr>
                <w:b/>
              </w:rPr>
              <w:t>Qualifications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7D353A" w:rsidRPr="00953BFF" w:rsidRDefault="007D353A" w:rsidP="00C92D08">
            <w:pPr>
              <w:jc w:val="both"/>
              <w:rPr>
                <w:b/>
              </w:rPr>
            </w:pPr>
            <w:r w:rsidRPr="00953BFF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7D353A" w:rsidRPr="00953BFF" w:rsidRDefault="007D353A" w:rsidP="00C92D08">
            <w:pPr>
              <w:jc w:val="both"/>
              <w:rPr>
                <w:b/>
              </w:rPr>
            </w:pPr>
            <w:r w:rsidRPr="00953BFF">
              <w:rPr>
                <w:b/>
              </w:rPr>
              <w:t>Desirable</w:t>
            </w:r>
          </w:p>
        </w:tc>
      </w:tr>
      <w:tr w:rsidR="007D353A" w:rsidRPr="00953BFF" w:rsidTr="00C92D08">
        <w:trPr>
          <w:trHeight w:val="569"/>
        </w:trPr>
        <w:tc>
          <w:tcPr>
            <w:tcW w:w="8261" w:type="dxa"/>
          </w:tcPr>
          <w:p w:rsidR="007D353A" w:rsidRPr="00953BFF" w:rsidRDefault="007D353A" w:rsidP="00C92D08">
            <w:pPr>
              <w:rPr>
                <w:b/>
              </w:rPr>
            </w:pPr>
            <w:r w:rsidRPr="00953BFF">
              <w:t>Excellent literacy/numeracy skills:</w:t>
            </w:r>
            <w:r w:rsidRPr="00953BFF">
              <w:rPr>
                <w:b/>
              </w:rPr>
              <w:t xml:space="preserve"> </w:t>
            </w:r>
            <w:r w:rsidRPr="00953BFF">
              <w:t xml:space="preserve">Minimum requirement, GCSE English and Mathematics (grade C or above)  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294"/>
              <w:rPr>
                <w:b/>
              </w:rPr>
            </w:pPr>
            <w:r w:rsidRPr="00953BFF">
              <w:rPr>
                <w:b/>
              </w:rPr>
              <w:t>X</w:t>
            </w:r>
          </w:p>
          <w:p w:rsidR="007D353A" w:rsidRPr="00953BFF" w:rsidRDefault="007D353A" w:rsidP="00C92D08">
            <w:pPr>
              <w:ind w:left="294"/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323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cs="Century Gothic"/>
                <w:color w:val="000000"/>
              </w:rPr>
            </w:pPr>
            <w:r w:rsidRPr="00953BFF">
              <w:rPr>
                <w:rFonts w:cs="Century Gothic"/>
                <w:color w:val="000000"/>
              </w:rPr>
              <w:t>NVQ 3 for Teaching Assistants or equivalent qualification or experience</w:t>
            </w:r>
          </w:p>
        </w:tc>
        <w:tc>
          <w:tcPr>
            <w:tcW w:w="1021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7D353A" w:rsidRPr="00953BFF" w:rsidRDefault="007D353A" w:rsidP="00C92D08">
            <w:pPr>
              <w:ind w:left="294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</w:tr>
      <w:tr w:rsidR="007D353A" w:rsidRPr="00953BFF" w:rsidTr="00C92D08">
        <w:trPr>
          <w:trHeight w:val="323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cs="Century Gothic"/>
                <w:color w:val="000000"/>
              </w:rPr>
            </w:pPr>
            <w:r w:rsidRPr="00953BFF">
              <w:rPr>
                <w:rFonts w:cs="Arial"/>
                <w:color w:val="000000"/>
              </w:rPr>
              <w:t>Evidence of commitment to professional development</w:t>
            </w:r>
          </w:p>
        </w:tc>
        <w:tc>
          <w:tcPr>
            <w:tcW w:w="1021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7D353A" w:rsidRPr="00953BFF" w:rsidRDefault="007D353A" w:rsidP="00C92D08">
            <w:pPr>
              <w:ind w:left="294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</w:tr>
      <w:tr w:rsidR="007D353A" w:rsidRPr="00953BFF" w:rsidTr="00C92D08">
        <w:trPr>
          <w:trHeight w:val="304"/>
        </w:trPr>
        <w:tc>
          <w:tcPr>
            <w:tcW w:w="8261" w:type="dxa"/>
            <w:shd w:val="clear" w:color="auto" w:fill="D9D9D9" w:themeFill="background1" w:themeFillShade="D9"/>
          </w:tcPr>
          <w:p w:rsidR="007D353A" w:rsidRPr="00953BFF" w:rsidRDefault="007D353A" w:rsidP="00C92D08">
            <w:pPr>
              <w:ind w:left="294"/>
              <w:rPr>
                <w:b/>
              </w:rPr>
            </w:pPr>
            <w:r w:rsidRPr="00953BFF">
              <w:rPr>
                <w:b/>
              </w:rPr>
              <w:t>Knowledge/Experience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210"/>
        </w:trPr>
        <w:tc>
          <w:tcPr>
            <w:tcW w:w="8261" w:type="dxa"/>
          </w:tcPr>
          <w:p w:rsidR="007D353A" w:rsidRPr="00953BFF" w:rsidRDefault="007D353A" w:rsidP="00C92D08">
            <w:r w:rsidRPr="00953BFF">
              <w:t xml:space="preserve">Experience of working with secondary aged (11-16)children </w:t>
            </w:r>
          </w:p>
        </w:tc>
        <w:tc>
          <w:tcPr>
            <w:tcW w:w="1021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210"/>
        </w:trPr>
        <w:tc>
          <w:tcPr>
            <w:tcW w:w="8261" w:type="dxa"/>
          </w:tcPr>
          <w:p w:rsidR="007D353A" w:rsidRPr="00953BFF" w:rsidRDefault="007D353A" w:rsidP="00C92D08">
            <w:r w:rsidRPr="00953BFF">
              <w:t>Experience of working with secondary aged (11-16) children with additional needs</w:t>
            </w:r>
          </w:p>
        </w:tc>
        <w:tc>
          <w:tcPr>
            <w:tcW w:w="1021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</w:tr>
      <w:tr w:rsidR="007D353A" w:rsidRPr="00953BFF" w:rsidTr="00C92D08">
        <w:trPr>
          <w:trHeight w:val="210"/>
        </w:trPr>
        <w:tc>
          <w:tcPr>
            <w:tcW w:w="8261" w:type="dxa"/>
          </w:tcPr>
          <w:p w:rsidR="007D353A" w:rsidRPr="00953BFF" w:rsidRDefault="007D353A" w:rsidP="00C92D08">
            <w:r w:rsidRPr="00953BFF">
              <w:t>Understanding of the principles of teaching and the learning process</w:t>
            </w:r>
          </w:p>
        </w:tc>
        <w:tc>
          <w:tcPr>
            <w:tcW w:w="1021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210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953BFF">
              <w:rPr>
                <w:rFonts w:cs="Century Gothic"/>
                <w:color w:val="000000"/>
              </w:rPr>
              <w:t xml:space="preserve">Experience as a teaching assistant or of behaviour management </w:t>
            </w:r>
            <w:r w:rsidRPr="00953BFF">
              <w:rPr>
                <w:rFonts w:cs="Century Gothic"/>
                <w:b/>
                <w:bCs/>
                <w:color w:val="FFFFFF"/>
              </w:rPr>
              <w:t>P</w:t>
            </w:r>
            <w:r w:rsidRPr="00953BFF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ersonal and Profession</w:t>
            </w:r>
          </w:p>
        </w:tc>
        <w:tc>
          <w:tcPr>
            <w:tcW w:w="1021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</w:tr>
      <w:tr w:rsidR="007D353A" w:rsidRPr="00953BFF" w:rsidTr="00C92D08">
        <w:trPr>
          <w:trHeight w:val="210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cs="Century Gothic"/>
                <w:color w:val="000000"/>
              </w:rPr>
            </w:pPr>
            <w:r w:rsidRPr="00953BFF">
              <w:rPr>
                <w:rFonts w:cs="Century Gothic"/>
                <w:color w:val="000000"/>
              </w:rPr>
              <w:t>Experience of addressing large groups of students and/or giving presentations</w:t>
            </w:r>
          </w:p>
        </w:tc>
        <w:tc>
          <w:tcPr>
            <w:tcW w:w="1021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210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cs="Century Gothic"/>
                <w:color w:val="000000"/>
              </w:rPr>
            </w:pPr>
            <w:r w:rsidRPr="00953BFF">
              <w:rPr>
                <w:rFonts w:cs="Arial"/>
                <w:color w:val="000000"/>
              </w:rPr>
              <w:t>Experience of providing administration support</w:t>
            </w:r>
          </w:p>
        </w:tc>
        <w:tc>
          <w:tcPr>
            <w:tcW w:w="1021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</w:tr>
      <w:tr w:rsidR="007D353A" w:rsidRPr="00953BFF" w:rsidTr="00C92D08">
        <w:trPr>
          <w:trHeight w:val="214"/>
        </w:trPr>
        <w:tc>
          <w:tcPr>
            <w:tcW w:w="8261" w:type="dxa"/>
            <w:shd w:val="clear" w:color="auto" w:fill="D9D9D9" w:themeFill="background1" w:themeFillShade="D9"/>
          </w:tcPr>
          <w:p w:rsidR="007D353A" w:rsidRPr="00953BFF" w:rsidRDefault="007D353A" w:rsidP="00C92D08">
            <w:pPr>
              <w:ind w:left="294"/>
              <w:rPr>
                <w:rFonts w:cs="Arial"/>
              </w:rPr>
            </w:pPr>
            <w:r w:rsidRPr="00953BFF">
              <w:rPr>
                <w:rFonts w:cs="Arial"/>
                <w:b/>
                <w:bCs/>
              </w:rPr>
              <w:t>Personal and Professional Skills and Attributes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168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cs="Century Gothic"/>
              </w:rPr>
            </w:pPr>
            <w:r w:rsidRPr="00953BFF">
              <w:rPr>
                <w:rFonts w:cs="Century Gothic"/>
              </w:rPr>
              <w:t>High expectations of students in terms of behaviour and achievement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168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cs="Century Gothic"/>
              </w:rPr>
            </w:pPr>
            <w:r w:rsidRPr="00953BFF">
              <w:rPr>
                <w:rFonts w:cs="Arial"/>
                <w:color w:val="000000"/>
              </w:rPr>
              <w:t>The skills to manage safely classroom activities, the physical learning space and resources you are responsible for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168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cs="Century Gothic"/>
              </w:rPr>
            </w:pPr>
            <w:r w:rsidRPr="00953BFF">
              <w:rPr>
                <w:rFonts w:cs="Century Gothic"/>
              </w:rPr>
              <w:t>Ability to relate well to students and be an effective role model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168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cs="Century Gothic"/>
              </w:rPr>
            </w:pPr>
            <w:r w:rsidRPr="00953BFF">
              <w:rPr>
                <w:rFonts w:cs="Century Gothic"/>
              </w:rPr>
              <w:t xml:space="preserve">The ability to motivate students, to manage their behaviour and promote and maintain a calm working environment 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168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cs="Century Gothic"/>
              </w:rPr>
            </w:pPr>
            <w:r w:rsidRPr="00953BFF">
              <w:rPr>
                <w:rFonts w:cs="Arial"/>
                <w:color w:val="000000"/>
              </w:rPr>
              <w:t>Ability to apply behaviour management policies and strategies which contribute to a purposeful learning environment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168"/>
        </w:trPr>
        <w:tc>
          <w:tcPr>
            <w:tcW w:w="8261" w:type="dxa"/>
          </w:tcPr>
          <w:p w:rsidR="007D353A" w:rsidRPr="00953BFF" w:rsidRDefault="007D353A" w:rsidP="00C92D0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3BFF">
              <w:rPr>
                <w:rFonts w:asciiTheme="minorHAnsi" w:hAnsiTheme="minorHAnsi"/>
                <w:sz w:val="22"/>
                <w:szCs w:val="22"/>
              </w:rPr>
              <w:t>Be interested in children as individuals and in how they learn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225"/>
        </w:trPr>
        <w:tc>
          <w:tcPr>
            <w:tcW w:w="8261" w:type="dxa"/>
          </w:tcPr>
          <w:p w:rsidR="007D353A" w:rsidRPr="00953BFF" w:rsidRDefault="007D353A" w:rsidP="00C92D0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3BFF">
              <w:rPr>
                <w:rFonts w:asciiTheme="minorHAnsi" w:hAnsiTheme="minorHAnsi"/>
                <w:sz w:val="22"/>
                <w:szCs w:val="22"/>
              </w:rPr>
              <w:t xml:space="preserve">Be able to establish a rapport with adults and children 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225"/>
        </w:trPr>
        <w:tc>
          <w:tcPr>
            <w:tcW w:w="8261" w:type="dxa"/>
          </w:tcPr>
          <w:p w:rsidR="007D353A" w:rsidRPr="00953BFF" w:rsidRDefault="007D353A" w:rsidP="00C92D0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3BFF">
              <w:rPr>
                <w:rFonts w:asciiTheme="minorHAnsi" w:hAnsiTheme="minorHAnsi" w:cs="Century Gothic"/>
                <w:sz w:val="22"/>
                <w:szCs w:val="22"/>
              </w:rPr>
              <w:t>High level communication skills, written and verbal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267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cs="Century Gothic"/>
              </w:rPr>
            </w:pPr>
            <w:r w:rsidRPr="00953BFF">
              <w:rPr>
                <w:rFonts w:cs="Century Gothic"/>
              </w:rPr>
              <w:t>Ability to work in a flexible and responsible way with tact, discretion and confidentiality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267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cs="Century Gothic"/>
              </w:rPr>
            </w:pPr>
            <w:r w:rsidRPr="00953BFF">
              <w:rPr>
                <w:rFonts w:cs="Century Gothic"/>
              </w:rPr>
              <w:t>Ability to adapt quickly and effectively to changing circumstances and situations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345"/>
        </w:trPr>
        <w:tc>
          <w:tcPr>
            <w:tcW w:w="8261" w:type="dxa"/>
          </w:tcPr>
          <w:p w:rsidR="007D353A" w:rsidRPr="00953BFF" w:rsidRDefault="007D353A" w:rsidP="00C92D0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3BFF">
              <w:rPr>
                <w:rFonts w:asciiTheme="minorHAnsi" w:hAnsiTheme="minorHAnsi"/>
                <w:sz w:val="22"/>
                <w:szCs w:val="22"/>
              </w:rPr>
              <w:t xml:space="preserve">Be committed to teamwork and be able to work well as a member of a team 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345"/>
        </w:trPr>
        <w:tc>
          <w:tcPr>
            <w:tcW w:w="8261" w:type="dxa"/>
          </w:tcPr>
          <w:p w:rsidR="007D353A" w:rsidRPr="00953BFF" w:rsidRDefault="007D353A" w:rsidP="00C92D0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53BFF">
              <w:rPr>
                <w:rFonts w:asciiTheme="minorHAnsi" w:hAnsiTheme="minorHAnsi"/>
                <w:sz w:val="22"/>
                <w:szCs w:val="22"/>
              </w:rPr>
              <w:t>Ability to follow direction and accept challenge and feedback in a positive and productive way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345"/>
        </w:trPr>
        <w:tc>
          <w:tcPr>
            <w:tcW w:w="8261" w:type="dxa"/>
          </w:tcPr>
          <w:p w:rsidR="007D353A" w:rsidRPr="00953BFF" w:rsidRDefault="007D353A" w:rsidP="00C92D08">
            <w:r w:rsidRPr="00953BFF">
              <w:t>Be able to effectively use ICT to support learning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345"/>
        </w:trPr>
        <w:tc>
          <w:tcPr>
            <w:tcW w:w="8261" w:type="dxa"/>
          </w:tcPr>
          <w:p w:rsidR="007D353A" w:rsidRPr="00953BFF" w:rsidRDefault="007D353A" w:rsidP="00C92D08">
            <w:r w:rsidRPr="00953BFF">
              <w:t>Knowledge of the national curriculum and other relevant learning strategies/programmes of study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315"/>
        </w:trPr>
        <w:tc>
          <w:tcPr>
            <w:tcW w:w="8261" w:type="dxa"/>
          </w:tcPr>
          <w:p w:rsidR="007D353A" w:rsidRPr="00953BFF" w:rsidRDefault="007D353A" w:rsidP="00C92D08">
            <w:r w:rsidRPr="00953BFF">
              <w:t>Have a caring, positive attitude towards students’ welfare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315"/>
        </w:trPr>
        <w:tc>
          <w:tcPr>
            <w:tcW w:w="8261" w:type="dxa"/>
          </w:tcPr>
          <w:p w:rsidR="007D353A" w:rsidRPr="00953BFF" w:rsidRDefault="007D353A" w:rsidP="00C92D08">
            <w:r w:rsidRPr="00953BFF">
              <w:lastRenderedPageBreak/>
              <w:t>Understand the importance of maintaining trust and confidentiality where appropriate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303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cs="Century Gothic"/>
              </w:rPr>
            </w:pPr>
            <w:r w:rsidRPr="00953BFF">
              <w:rPr>
                <w:rFonts w:cs="Century Gothic"/>
              </w:rPr>
              <w:t>Ability to support the processes and procedures for student’s learning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  <w:tr w:rsidR="007D353A" w:rsidRPr="00953BFF" w:rsidTr="00C92D08">
        <w:trPr>
          <w:trHeight w:val="303"/>
        </w:trPr>
        <w:tc>
          <w:tcPr>
            <w:tcW w:w="8261" w:type="dxa"/>
          </w:tcPr>
          <w:p w:rsidR="007D353A" w:rsidRPr="00953BFF" w:rsidRDefault="007D353A" w:rsidP="00C92D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3BFF">
              <w:rPr>
                <w:rFonts w:ascii="Calibri" w:hAnsi="Calibri" w:cs="Calibri"/>
              </w:rPr>
              <w:t>Ability to critically evaluate own performance and make any necessary changes to be more effective.</w:t>
            </w:r>
          </w:p>
        </w:tc>
        <w:tc>
          <w:tcPr>
            <w:tcW w:w="1021" w:type="dxa"/>
            <w:vAlign w:val="center"/>
          </w:tcPr>
          <w:p w:rsidR="007D353A" w:rsidRPr="00953BFF" w:rsidRDefault="007D353A" w:rsidP="00C92D08">
            <w:pPr>
              <w:ind w:left="5"/>
              <w:jc w:val="center"/>
              <w:rPr>
                <w:b/>
              </w:rPr>
            </w:pPr>
            <w:r w:rsidRPr="00953BFF">
              <w:rPr>
                <w:b/>
              </w:rPr>
              <w:t>X</w:t>
            </w:r>
          </w:p>
        </w:tc>
        <w:tc>
          <w:tcPr>
            <w:tcW w:w="1077" w:type="dxa"/>
          </w:tcPr>
          <w:p w:rsidR="007D353A" w:rsidRPr="00953BFF" w:rsidRDefault="007D353A" w:rsidP="00C92D08">
            <w:pPr>
              <w:ind w:left="294"/>
              <w:jc w:val="both"/>
              <w:rPr>
                <w:b/>
              </w:rPr>
            </w:pPr>
          </w:p>
        </w:tc>
      </w:tr>
    </w:tbl>
    <w:p w:rsidR="007D353A" w:rsidRPr="00953BFF" w:rsidRDefault="007D353A" w:rsidP="007D353A">
      <w:pPr>
        <w:jc w:val="both"/>
        <w:rPr>
          <w:b/>
          <w:u w:val="single"/>
        </w:rPr>
      </w:pPr>
    </w:p>
    <w:p w:rsidR="007D353A" w:rsidRPr="00953BFF" w:rsidRDefault="007D353A" w:rsidP="007D353A">
      <w:pPr>
        <w:jc w:val="both"/>
        <w:rPr>
          <w:b/>
        </w:rPr>
      </w:pPr>
    </w:p>
    <w:p w:rsidR="008F0FD9" w:rsidRDefault="008F0FD9">
      <w:pPr>
        <w:rPr>
          <w:rFonts w:ascii="Arial" w:hAnsi="Arial" w:cs="Arial"/>
        </w:rPr>
        <w:sectPr w:rsidR="008F0FD9" w:rsidSect="003C12B5">
          <w:headerReference w:type="default" r:id="rId8"/>
          <w:footerReference w:type="default" r:id="rId9"/>
          <w:pgSz w:w="11906" w:h="16838"/>
          <w:pgMar w:top="1440" w:right="1080" w:bottom="1440" w:left="1080" w:header="227" w:footer="709" w:gutter="0"/>
          <w:cols w:space="708"/>
          <w:docGrid w:linePitch="360"/>
        </w:sectPr>
      </w:pPr>
    </w:p>
    <w:p w:rsidR="00DB3EEB" w:rsidRPr="0048047C" w:rsidRDefault="00DB3EEB" w:rsidP="008F0FD9">
      <w:pPr>
        <w:rPr>
          <w:rFonts w:ascii="Arial" w:hAnsi="Arial" w:cs="Arial"/>
        </w:rPr>
      </w:pPr>
    </w:p>
    <w:sectPr w:rsidR="00DB3EEB" w:rsidRPr="0048047C" w:rsidSect="008F0FD9">
      <w:pgSz w:w="16838" w:h="11906" w:orient="landscape"/>
      <w:pgMar w:top="249" w:right="1440" w:bottom="249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E0" w:rsidRDefault="006344E0">
      <w:r>
        <w:separator/>
      </w:r>
    </w:p>
  </w:endnote>
  <w:endnote w:type="continuationSeparator" w:id="0">
    <w:p w:rsidR="006344E0" w:rsidRDefault="0063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bon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E0" w:rsidRDefault="006344E0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Style1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6344E0">
      <w:tc>
        <w:tcPr>
          <w:tcW w:w="4508" w:type="dxa"/>
        </w:tcPr>
        <w:p w:rsidR="006344E0" w:rsidRDefault="006344E0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 xml:space="preserve">Tickleford Drive, Southampton, SO19 9QP                                               </w:t>
          </w:r>
        </w:p>
        <w:p w:rsidR="006344E0" w:rsidRDefault="006344E0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tel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: 023 8044 7820</w:t>
          </w:r>
        </w:p>
        <w:p w:rsidR="006344E0" w:rsidRDefault="006344E0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email: info@chamberlayne.org</w:t>
          </w:r>
        </w:p>
      </w:tc>
      <w:tc>
        <w:tcPr>
          <w:tcW w:w="4508" w:type="dxa"/>
        </w:tcPr>
        <w:p w:rsidR="006344E0" w:rsidRDefault="00CE2F70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 xml:space="preserve">Interim </w:t>
          </w:r>
          <w:r w:rsidR="006344E0">
            <w:rPr>
              <w:rFonts w:ascii="Arial" w:hAnsi="Arial" w:cs="Arial"/>
              <w:color w:val="2F5496" w:themeColor="accent5" w:themeShade="BF"/>
              <w:sz w:val="16"/>
              <w:szCs w:val="16"/>
            </w:rPr>
            <w:t xml:space="preserve">Headteacher: Mr </w:t>
          </w: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S.</w:t>
          </w:r>
          <w:r w:rsidR="006344E0">
            <w:rPr>
              <w:rFonts w:ascii="Arial" w:hAnsi="Arial" w:cs="Arial"/>
              <w:color w:val="2F5496" w:themeColor="accent5" w:themeShade="B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Wilkinson</w:t>
          </w:r>
          <w:r w:rsidR="006344E0">
            <w:rPr>
              <w:rFonts w:ascii="Arial" w:hAnsi="Arial" w:cs="Arial"/>
              <w:color w:val="2F5496" w:themeColor="accent5" w:themeShade="BF"/>
              <w:sz w:val="16"/>
              <w:szCs w:val="16"/>
            </w:rPr>
            <w:t xml:space="preserve"> </w:t>
          </w:r>
        </w:p>
        <w:p w:rsidR="00D71E5B" w:rsidRDefault="00D71E5B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BSc(Hons) NPQH</w:t>
          </w:r>
        </w:p>
        <w:p w:rsidR="006344E0" w:rsidRDefault="006344E0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2860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wit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19075" cy="2190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aceboo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44E0" w:rsidRDefault="006344E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E0" w:rsidRDefault="006344E0">
      <w:r>
        <w:separator/>
      </w:r>
    </w:p>
  </w:footnote>
  <w:footnote w:type="continuationSeparator" w:id="0">
    <w:p w:rsidR="006344E0" w:rsidRDefault="0063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E0" w:rsidRDefault="006344E0">
    <w:pPr>
      <w:pStyle w:val="Header"/>
      <w:jc w:val="center"/>
    </w:pPr>
  </w:p>
  <w:p w:rsidR="006344E0" w:rsidRDefault="006344E0">
    <w:pPr>
      <w:pStyle w:val="Header"/>
      <w:jc w:val="center"/>
    </w:pPr>
  </w:p>
  <w:p w:rsidR="006344E0" w:rsidRDefault="006344E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0937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4E0" w:rsidRDefault="006344E0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CHAMBERLAYNE COLLEGE FOR THE ARTS</w:t>
    </w:r>
  </w:p>
  <w:p w:rsidR="006344E0" w:rsidRDefault="006344E0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Expect More. Achieve More.</w:t>
    </w:r>
  </w:p>
  <w:p w:rsidR="006344E0" w:rsidRDefault="007D353A">
    <w:pPr>
      <w:pStyle w:val="Header"/>
      <w:jc w:val="center"/>
      <w:rPr>
        <w:rFonts w:ascii="Arial" w:hAnsi="Arial" w:cs="Arial"/>
        <w:color w:val="2F5496" w:themeColor="accent5" w:themeShade="BF"/>
        <w:sz w:val="16"/>
        <w:szCs w:val="16"/>
      </w:rPr>
    </w:pPr>
    <w:hyperlink r:id="rId3" w:history="1">
      <w:r w:rsidR="006344E0">
        <w:rPr>
          <w:rStyle w:val="Hyperlink"/>
          <w:rFonts w:ascii="Arial" w:hAnsi="Arial" w:cs="Arial"/>
          <w:color w:val="2F5496" w:themeColor="accent5" w:themeShade="BF"/>
          <w:sz w:val="16"/>
          <w:szCs w:val="16"/>
        </w:rPr>
        <w:t>www.chamberlayne.org</w:t>
      </w:r>
    </w:hyperlink>
  </w:p>
  <w:p w:rsidR="006344E0" w:rsidRDefault="006344E0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noProof/>
        <w:color w:val="4472C4" w:themeColor="accent5"/>
        <w:lang w:eastAsia="en-GB"/>
      </w:rPr>
      <mc:AlternateContent>
        <mc:Choice Requires="wps">
          <w:drawing>
            <wp:inline distT="0" distB="0" distL="0" distR="0">
              <wp:extent cx="634365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060305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" strokecolor="#2f5496 [2408]" strokeweight="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C3890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B10CA"/>
    <w:multiLevelType w:val="hybridMultilevel"/>
    <w:tmpl w:val="A2286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117"/>
    <w:multiLevelType w:val="hybridMultilevel"/>
    <w:tmpl w:val="CC4A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66B0"/>
    <w:multiLevelType w:val="hybridMultilevel"/>
    <w:tmpl w:val="567A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0F99"/>
    <w:multiLevelType w:val="hybridMultilevel"/>
    <w:tmpl w:val="19E4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30C7"/>
    <w:multiLevelType w:val="hybridMultilevel"/>
    <w:tmpl w:val="F96A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5EE2"/>
    <w:multiLevelType w:val="hybridMultilevel"/>
    <w:tmpl w:val="48AC4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E04E5"/>
    <w:multiLevelType w:val="hybridMultilevel"/>
    <w:tmpl w:val="3A2C26A4"/>
    <w:lvl w:ilvl="0" w:tplc="54442A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680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A0A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204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C1E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8C2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A21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681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C67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D176E1"/>
    <w:multiLevelType w:val="hybridMultilevel"/>
    <w:tmpl w:val="E41A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728E"/>
    <w:multiLevelType w:val="hybridMultilevel"/>
    <w:tmpl w:val="05D8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9364F"/>
    <w:multiLevelType w:val="hybridMultilevel"/>
    <w:tmpl w:val="5772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9259D"/>
    <w:multiLevelType w:val="hybridMultilevel"/>
    <w:tmpl w:val="BC26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62499"/>
    <w:multiLevelType w:val="hybridMultilevel"/>
    <w:tmpl w:val="FB18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70A2F"/>
    <w:multiLevelType w:val="hybridMultilevel"/>
    <w:tmpl w:val="ADCC0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0CEB"/>
    <w:multiLevelType w:val="hybridMultilevel"/>
    <w:tmpl w:val="A4DE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7210B"/>
    <w:multiLevelType w:val="hybridMultilevel"/>
    <w:tmpl w:val="E7564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7410A3"/>
    <w:multiLevelType w:val="hybridMultilevel"/>
    <w:tmpl w:val="A370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B6F85"/>
    <w:multiLevelType w:val="hybridMultilevel"/>
    <w:tmpl w:val="064C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0110A"/>
    <w:multiLevelType w:val="hybridMultilevel"/>
    <w:tmpl w:val="4BA0A4B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80ABF"/>
    <w:multiLevelType w:val="hybridMultilevel"/>
    <w:tmpl w:val="FB48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12BF5"/>
    <w:multiLevelType w:val="hybridMultilevel"/>
    <w:tmpl w:val="6516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7EB8"/>
    <w:multiLevelType w:val="hybridMultilevel"/>
    <w:tmpl w:val="574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83B87"/>
    <w:multiLevelType w:val="hybridMultilevel"/>
    <w:tmpl w:val="B2D41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8F3"/>
    <w:multiLevelType w:val="hybridMultilevel"/>
    <w:tmpl w:val="835E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456CD"/>
    <w:multiLevelType w:val="hybridMultilevel"/>
    <w:tmpl w:val="8B42F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FA1C86"/>
    <w:multiLevelType w:val="hybridMultilevel"/>
    <w:tmpl w:val="D9423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CA7226">
      <w:numFmt w:val="bullet"/>
      <w:lvlText w:val="•"/>
      <w:lvlJc w:val="left"/>
      <w:pPr>
        <w:ind w:left="1440" w:hanging="360"/>
      </w:pPr>
      <w:rPr>
        <w:rFonts w:ascii="SabonLTStd-Roman" w:eastAsiaTheme="minorHAnsi" w:hAnsi="SabonLTStd-Roman" w:cs="SabonLTStd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A7C89"/>
    <w:multiLevelType w:val="hybridMultilevel"/>
    <w:tmpl w:val="79B8E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166993"/>
    <w:multiLevelType w:val="multilevel"/>
    <w:tmpl w:val="E0BC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812E70"/>
    <w:multiLevelType w:val="hybridMultilevel"/>
    <w:tmpl w:val="65E8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72694"/>
    <w:multiLevelType w:val="hybridMultilevel"/>
    <w:tmpl w:val="7D1C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D2EF6"/>
    <w:multiLevelType w:val="hybridMultilevel"/>
    <w:tmpl w:val="8ACA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C0D90"/>
    <w:multiLevelType w:val="multilevel"/>
    <w:tmpl w:val="064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CE48F5"/>
    <w:multiLevelType w:val="multilevel"/>
    <w:tmpl w:val="66D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4E0A4F"/>
    <w:multiLevelType w:val="hybridMultilevel"/>
    <w:tmpl w:val="6A3A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D12E8"/>
    <w:multiLevelType w:val="hybridMultilevel"/>
    <w:tmpl w:val="E53A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3E95"/>
    <w:multiLevelType w:val="hybridMultilevel"/>
    <w:tmpl w:val="E78A4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C03462">
      <w:numFmt w:val="bullet"/>
      <w:lvlText w:val="•"/>
      <w:lvlJc w:val="left"/>
      <w:pPr>
        <w:ind w:left="1440" w:hanging="360"/>
      </w:pPr>
      <w:rPr>
        <w:rFonts w:ascii="SabonLTStd-Roman" w:eastAsiaTheme="minorHAnsi" w:hAnsi="SabonLTStd-Roman" w:cs="SabonLTStd-Roman" w:hint="default"/>
        <w:color w:val="58595B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94C70"/>
    <w:multiLevelType w:val="hybridMultilevel"/>
    <w:tmpl w:val="F67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824B5"/>
    <w:multiLevelType w:val="hybridMultilevel"/>
    <w:tmpl w:val="96F2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60641"/>
    <w:multiLevelType w:val="hybridMultilevel"/>
    <w:tmpl w:val="C5B0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43B58"/>
    <w:multiLevelType w:val="hybridMultilevel"/>
    <w:tmpl w:val="C8482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10"/>
  </w:num>
  <w:num w:numId="5">
    <w:abstractNumId w:val="32"/>
  </w:num>
  <w:num w:numId="6">
    <w:abstractNumId w:val="19"/>
  </w:num>
  <w:num w:numId="7">
    <w:abstractNumId w:val="30"/>
  </w:num>
  <w:num w:numId="8">
    <w:abstractNumId w:val="16"/>
  </w:num>
  <w:num w:numId="9">
    <w:abstractNumId w:val="9"/>
  </w:num>
  <w:num w:numId="10">
    <w:abstractNumId w:val="34"/>
  </w:num>
  <w:num w:numId="11">
    <w:abstractNumId w:val="12"/>
  </w:num>
  <w:num w:numId="12">
    <w:abstractNumId w:val="28"/>
  </w:num>
  <w:num w:numId="13">
    <w:abstractNumId w:val="8"/>
  </w:num>
  <w:num w:numId="14">
    <w:abstractNumId w:val="36"/>
  </w:num>
  <w:num w:numId="15">
    <w:abstractNumId w:val="5"/>
  </w:num>
  <w:num w:numId="16">
    <w:abstractNumId w:val="35"/>
  </w:num>
  <w:num w:numId="17">
    <w:abstractNumId w:val="25"/>
  </w:num>
  <w:num w:numId="18">
    <w:abstractNumId w:val="22"/>
  </w:num>
  <w:num w:numId="19">
    <w:abstractNumId w:val="4"/>
  </w:num>
  <w:num w:numId="20">
    <w:abstractNumId w:val="21"/>
  </w:num>
  <w:num w:numId="21">
    <w:abstractNumId w:val="18"/>
  </w:num>
  <w:num w:numId="22">
    <w:abstractNumId w:val="27"/>
  </w:num>
  <w:num w:numId="23">
    <w:abstractNumId w:val="20"/>
  </w:num>
  <w:num w:numId="24">
    <w:abstractNumId w:val="6"/>
  </w:num>
  <w:num w:numId="25">
    <w:abstractNumId w:val="39"/>
  </w:num>
  <w:num w:numId="26">
    <w:abstractNumId w:val="26"/>
  </w:num>
  <w:num w:numId="27">
    <w:abstractNumId w:val="1"/>
  </w:num>
  <w:num w:numId="28">
    <w:abstractNumId w:val="15"/>
  </w:num>
  <w:num w:numId="29">
    <w:abstractNumId w:val="13"/>
  </w:num>
  <w:num w:numId="30">
    <w:abstractNumId w:val="24"/>
  </w:num>
  <w:num w:numId="31">
    <w:abstractNumId w:val="29"/>
  </w:num>
  <w:num w:numId="32">
    <w:abstractNumId w:val="3"/>
  </w:num>
  <w:num w:numId="33">
    <w:abstractNumId w:val="37"/>
  </w:num>
  <w:num w:numId="34">
    <w:abstractNumId w:val="11"/>
  </w:num>
  <w:num w:numId="35">
    <w:abstractNumId w:val="14"/>
  </w:num>
  <w:num w:numId="36">
    <w:abstractNumId w:val="33"/>
  </w:num>
  <w:num w:numId="37">
    <w:abstractNumId w:val="17"/>
  </w:num>
  <w:num w:numId="38">
    <w:abstractNumId w:val="31"/>
  </w:num>
  <w:num w:numId="39">
    <w:abstractNumId w:val="2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2"/>
    <w:rsid w:val="000D0D34"/>
    <w:rsid w:val="00100BB0"/>
    <w:rsid w:val="00155996"/>
    <w:rsid w:val="002E537D"/>
    <w:rsid w:val="00330B82"/>
    <w:rsid w:val="003C12B5"/>
    <w:rsid w:val="0041600A"/>
    <w:rsid w:val="004730B2"/>
    <w:rsid w:val="0048047C"/>
    <w:rsid w:val="00534D75"/>
    <w:rsid w:val="00542DC7"/>
    <w:rsid w:val="005A5C12"/>
    <w:rsid w:val="005B695E"/>
    <w:rsid w:val="005F1A6F"/>
    <w:rsid w:val="005F1BF4"/>
    <w:rsid w:val="005F4D7E"/>
    <w:rsid w:val="006344E0"/>
    <w:rsid w:val="006C40BA"/>
    <w:rsid w:val="006D403D"/>
    <w:rsid w:val="006E4BC5"/>
    <w:rsid w:val="006E4EE1"/>
    <w:rsid w:val="00766B84"/>
    <w:rsid w:val="007D353A"/>
    <w:rsid w:val="00803116"/>
    <w:rsid w:val="00832695"/>
    <w:rsid w:val="008F0FD9"/>
    <w:rsid w:val="008F675A"/>
    <w:rsid w:val="00992DA9"/>
    <w:rsid w:val="009B65DA"/>
    <w:rsid w:val="00A532E0"/>
    <w:rsid w:val="00A71FF5"/>
    <w:rsid w:val="00BF775B"/>
    <w:rsid w:val="00C21126"/>
    <w:rsid w:val="00C46B16"/>
    <w:rsid w:val="00C577ED"/>
    <w:rsid w:val="00CA65D1"/>
    <w:rsid w:val="00CE2F70"/>
    <w:rsid w:val="00D71E5B"/>
    <w:rsid w:val="00DB3EEB"/>
    <w:rsid w:val="00E264C1"/>
    <w:rsid w:val="00E51F5C"/>
    <w:rsid w:val="00E52E6A"/>
    <w:rsid w:val="00F055FE"/>
    <w:rsid w:val="00F14338"/>
    <w:rsid w:val="00F45244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53B9805"/>
  <w15:chartTrackingRefBased/>
  <w15:docId w15:val="{20AF5CD8-6257-48B2-A2F2-E2566D2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E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44E0"/>
    <w:pPr>
      <w:keepNext/>
      <w:outlineLvl w:val="1"/>
    </w:pPr>
    <w:rPr>
      <w:rFonts w:ascii="Trebuchet MS" w:eastAsia="Times New Roman" w:hAnsi="Trebuchet MS" w:cs="Times New Roman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6344E0"/>
    <w:rPr>
      <w:rFonts w:ascii="Trebuchet MS" w:eastAsia="Times New Roman" w:hAnsi="Trebuchet MS" w:cs="Times New Roman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44E0"/>
    <w:pPr>
      <w:ind w:left="720"/>
      <w:contextualSpacing/>
    </w:pPr>
  </w:style>
  <w:style w:type="paragraph" w:styleId="BodyText">
    <w:name w:val="Body Text"/>
    <w:basedOn w:val="Normal"/>
    <w:link w:val="BodyTextChar"/>
    <w:rsid w:val="006344E0"/>
    <w:rPr>
      <w:rFonts w:ascii="Comic Sans MS" w:eastAsia="Times New Roman" w:hAnsi="Comic Sans MS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344E0"/>
    <w:rPr>
      <w:rFonts w:ascii="Comic Sans MS" w:eastAsia="Times New Roman" w:hAnsi="Comic Sans MS" w:cs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344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ghtGrid-Accent2">
    <w:name w:val="Light Grid Accent 2"/>
    <w:basedOn w:val="TableNormal"/>
    <w:uiPriority w:val="62"/>
    <w:rsid w:val="006344E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344E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344E0"/>
  </w:style>
  <w:style w:type="table" w:styleId="LightGrid-Accent3">
    <w:name w:val="Light Grid Accent 3"/>
    <w:basedOn w:val="TableNormal"/>
    <w:uiPriority w:val="62"/>
    <w:rsid w:val="006344E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Default">
    <w:name w:val="Default"/>
    <w:rsid w:val="006344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6344E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6344E0"/>
    <w:rPr>
      <w:i/>
      <w:iCs/>
    </w:rPr>
  </w:style>
  <w:style w:type="paragraph" w:customStyle="1" w:styleId="xmsonormal">
    <w:name w:val="x_msonormal"/>
    <w:basedOn w:val="Normal"/>
    <w:rsid w:val="0041600A"/>
    <w:rPr>
      <w:rFonts w:ascii="Calibri" w:hAnsi="Calibri" w:cs="Calibri"/>
      <w:sz w:val="22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B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CF20-EA13-4BC5-8331-F36B1369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Shacklock</dc:creator>
  <cp:keywords/>
  <dc:description/>
  <cp:lastModifiedBy>Teresa Bulpett</cp:lastModifiedBy>
  <cp:revision>2</cp:revision>
  <cp:lastPrinted>2021-06-30T12:06:00Z</cp:lastPrinted>
  <dcterms:created xsi:type="dcterms:W3CDTF">2021-11-12T12:29:00Z</dcterms:created>
  <dcterms:modified xsi:type="dcterms:W3CDTF">2021-11-12T12:29:00Z</dcterms:modified>
</cp:coreProperties>
</file>