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0D2" w:rsidRDefault="00AF30D2"/>
    <w:p w:rsidR="00AF30D2" w:rsidRPr="0089724F" w:rsidRDefault="00AF30D2">
      <w:pPr>
        <w:rPr>
          <w:rFonts w:ascii="Arial" w:hAnsi="Arial" w:cs="Arial"/>
        </w:rPr>
      </w:pPr>
      <w:r>
        <w:rPr>
          <w:b/>
          <w:noProof/>
          <w:sz w:val="24"/>
          <w:szCs w:val="24"/>
          <w:u w:val="single"/>
          <w:lang w:eastAsia="en-GB"/>
        </w:rPr>
        <w:drawing>
          <wp:anchor distT="0" distB="0" distL="114300" distR="114300" simplePos="0" relativeHeight="251659264" behindDoc="1" locked="0" layoutInCell="1" allowOverlap="1" wp14:anchorId="137BBFA6" wp14:editId="0D741235">
            <wp:simplePos x="0" y="0"/>
            <wp:positionH relativeFrom="margin">
              <wp:align>center</wp:align>
            </wp:positionH>
            <wp:positionV relativeFrom="paragraph">
              <wp:posOffset>11430</wp:posOffset>
            </wp:positionV>
            <wp:extent cx="8772525" cy="800100"/>
            <wp:effectExtent l="0" t="0" r="3175" b="0"/>
            <wp:wrapTight wrapText="bothSides">
              <wp:wrapPolygon edited="0">
                <wp:start x="594" y="1371"/>
                <wp:lineTo x="594" y="5143"/>
                <wp:lineTo x="10194" y="7543"/>
                <wp:lineTo x="0" y="7886"/>
                <wp:lineTo x="0" y="12686"/>
                <wp:lineTo x="21139" y="13029"/>
                <wp:lineTo x="5629" y="15771"/>
                <wp:lineTo x="4597" y="15771"/>
                <wp:lineTo x="4691" y="19543"/>
                <wp:lineTo x="14572" y="20571"/>
                <wp:lineTo x="14728" y="20571"/>
                <wp:lineTo x="14853" y="18514"/>
                <wp:lineTo x="16542" y="18514"/>
                <wp:lineTo x="21451" y="14400"/>
                <wp:lineTo x="21420" y="13029"/>
                <wp:lineTo x="21577" y="10971"/>
                <wp:lineTo x="21577" y="9600"/>
                <wp:lineTo x="21420" y="7543"/>
                <wp:lineTo x="21451" y="6171"/>
                <wp:lineTo x="19075" y="2743"/>
                <wp:lineTo x="17762" y="1371"/>
                <wp:lineTo x="594" y="1371"/>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AF30D2" w:rsidRPr="0089724F" w:rsidRDefault="00AF30D2">
      <w:pPr>
        <w:rPr>
          <w:rFonts w:ascii="Arial" w:hAnsi="Arial" w:cs="Arial"/>
        </w:rPr>
      </w:pPr>
    </w:p>
    <w:p w:rsidR="00AF30D2" w:rsidRPr="0089724F" w:rsidRDefault="00AF30D2">
      <w:pPr>
        <w:rPr>
          <w:rFonts w:ascii="Arial" w:hAnsi="Arial" w:cs="Arial"/>
        </w:rPr>
      </w:pPr>
    </w:p>
    <w:p w:rsidR="00845626" w:rsidRPr="0089724F" w:rsidRDefault="00845626">
      <w:pPr>
        <w:rPr>
          <w:rFonts w:ascii="Arial" w:hAnsi="Arial" w:cs="Arial"/>
        </w:rPr>
      </w:pPr>
    </w:p>
    <w:tbl>
      <w:tblPr>
        <w:tblStyle w:val="TableGrid"/>
        <w:tblW w:w="0" w:type="auto"/>
        <w:tblLook w:val="04A0" w:firstRow="1" w:lastRow="0" w:firstColumn="1" w:lastColumn="0" w:noHBand="0" w:noVBand="1"/>
      </w:tblPr>
      <w:tblGrid>
        <w:gridCol w:w="1555"/>
        <w:gridCol w:w="3118"/>
        <w:gridCol w:w="8505"/>
        <w:gridCol w:w="2210"/>
      </w:tblGrid>
      <w:tr w:rsidR="00AF30D2" w:rsidRPr="0089724F" w:rsidTr="0081588C">
        <w:tc>
          <w:tcPr>
            <w:tcW w:w="1555" w:type="dxa"/>
            <w:shd w:val="clear" w:color="auto" w:fill="F7CAAC" w:themeFill="accent2" w:themeFillTint="66"/>
          </w:tcPr>
          <w:p w:rsidR="00AF30D2" w:rsidRPr="004423A3" w:rsidRDefault="00AF30D2" w:rsidP="0081588C">
            <w:pPr>
              <w:jc w:val="center"/>
              <w:rPr>
                <w:rFonts w:ascii="Arial" w:hAnsi="Arial" w:cs="Arial"/>
                <w:sz w:val="24"/>
              </w:rPr>
            </w:pPr>
            <w:r w:rsidRPr="004423A3">
              <w:rPr>
                <w:rFonts w:ascii="Arial" w:hAnsi="Arial" w:cs="Arial"/>
                <w:b/>
                <w:sz w:val="24"/>
              </w:rPr>
              <w:t>Year</w:t>
            </w:r>
          </w:p>
        </w:tc>
        <w:tc>
          <w:tcPr>
            <w:tcW w:w="3118" w:type="dxa"/>
            <w:shd w:val="clear" w:color="auto" w:fill="F7CAAC" w:themeFill="accent2" w:themeFillTint="66"/>
          </w:tcPr>
          <w:p w:rsidR="00AF30D2" w:rsidRPr="004423A3" w:rsidRDefault="00AF30D2" w:rsidP="0081588C">
            <w:pPr>
              <w:jc w:val="center"/>
              <w:rPr>
                <w:rFonts w:ascii="Arial" w:hAnsi="Arial" w:cs="Arial"/>
                <w:sz w:val="24"/>
              </w:rPr>
            </w:pPr>
            <w:r w:rsidRPr="004423A3">
              <w:rPr>
                <w:rFonts w:ascii="Arial" w:hAnsi="Arial" w:cs="Arial"/>
                <w:sz w:val="24"/>
              </w:rPr>
              <w:t>Year Aims</w:t>
            </w:r>
          </w:p>
        </w:tc>
        <w:tc>
          <w:tcPr>
            <w:tcW w:w="8505" w:type="dxa"/>
            <w:shd w:val="clear" w:color="auto" w:fill="F7CAAC" w:themeFill="accent2" w:themeFillTint="66"/>
          </w:tcPr>
          <w:p w:rsidR="00AF30D2" w:rsidRPr="004423A3" w:rsidRDefault="00AF30D2" w:rsidP="0081588C">
            <w:pPr>
              <w:jc w:val="center"/>
              <w:rPr>
                <w:rFonts w:ascii="Arial" w:hAnsi="Arial" w:cs="Arial"/>
                <w:sz w:val="24"/>
              </w:rPr>
            </w:pPr>
            <w:r w:rsidRPr="004423A3">
              <w:rPr>
                <w:rFonts w:ascii="Arial" w:hAnsi="Arial" w:cs="Arial"/>
                <w:sz w:val="24"/>
              </w:rPr>
              <w:t>Experiences, Activities &amp; Measurable Outcomes</w:t>
            </w:r>
          </w:p>
        </w:tc>
        <w:tc>
          <w:tcPr>
            <w:tcW w:w="2210" w:type="dxa"/>
            <w:shd w:val="clear" w:color="auto" w:fill="F7CAAC" w:themeFill="accent2" w:themeFillTint="66"/>
          </w:tcPr>
          <w:p w:rsidR="00AF30D2" w:rsidRPr="004423A3" w:rsidRDefault="0085542E" w:rsidP="0081588C">
            <w:pPr>
              <w:jc w:val="center"/>
              <w:rPr>
                <w:rFonts w:ascii="Arial" w:hAnsi="Arial" w:cs="Arial"/>
                <w:sz w:val="24"/>
              </w:rPr>
            </w:pPr>
            <w:r>
              <w:rPr>
                <w:rFonts w:ascii="Arial" w:hAnsi="Arial" w:cs="Arial"/>
                <w:sz w:val="24"/>
              </w:rPr>
              <w:t>Benchmarks</w:t>
            </w:r>
          </w:p>
        </w:tc>
      </w:tr>
      <w:tr w:rsidR="005A6F53" w:rsidRPr="0089724F" w:rsidTr="0085542E">
        <w:tc>
          <w:tcPr>
            <w:tcW w:w="1555" w:type="dxa"/>
            <w:vMerge w:val="restart"/>
            <w:shd w:val="clear" w:color="auto" w:fill="FFD966" w:themeFill="accent4" w:themeFillTint="99"/>
          </w:tcPr>
          <w:p w:rsidR="005A6F53" w:rsidRDefault="005A6F53" w:rsidP="00AF30D2">
            <w:pPr>
              <w:jc w:val="center"/>
              <w:rPr>
                <w:rFonts w:ascii="Arial" w:hAnsi="Arial" w:cs="Arial"/>
                <w:b/>
                <w:sz w:val="56"/>
              </w:rPr>
            </w:pPr>
          </w:p>
          <w:p w:rsidR="005A6F53" w:rsidRDefault="005A6F53" w:rsidP="00AF30D2">
            <w:pPr>
              <w:jc w:val="center"/>
              <w:rPr>
                <w:rFonts w:ascii="Arial" w:hAnsi="Arial" w:cs="Arial"/>
                <w:b/>
                <w:sz w:val="56"/>
              </w:rPr>
            </w:pPr>
          </w:p>
          <w:p w:rsidR="005A6F53" w:rsidRPr="0089724F" w:rsidRDefault="005A6F53" w:rsidP="0089724F">
            <w:pPr>
              <w:jc w:val="center"/>
              <w:rPr>
                <w:rFonts w:ascii="Arial" w:hAnsi="Arial" w:cs="Arial"/>
                <w:b/>
              </w:rPr>
            </w:pPr>
            <w:r w:rsidRPr="0089724F">
              <w:rPr>
                <w:rFonts w:ascii="Arial" w:hAnsi="Arial" w:cs="Arial"/>
                <w:b/>
                <w:sz w:val="56"/>
              </w:rPr>
              <w:t>7</w:t>
            </w:r>
          </w:p>
        </w:tc>
        <w:tc>
          <w:tcPr>
            <w:tcW w:w="3118" w:type="dxa"/>
            <w:vMerge w:val="restart"/>
            <w:shd w:val="clear" w:color="auto" w:fill="FFD966" w:themeFill="accent4" w:themeFillTint="99"/>
          </w:tcPr>
          <w:p w:rsidR="005A6F53" w:rsidRPr="004423A3" w:rsidRDefault="005A6F53" w:rsidP="00AF30D2">
            <w:pPr>
              <w:rPr>
                <w:rFonts w:ascii="Arial" w:hAnsi="Arial" w:cs="Arial"/>
              </w:rPr>
            </w:pPr>
            <w:r w:rsidRPr="004423A3">
              <w:rPr>
                <w:rFonts w:ascii="Arial" w:hAnsi="Arial" w:cs="Arial"/>
              </w:rPr>
              <w:t xml:space="preserve">An introduction to careers education. Raising student’s </w:t>
            </w:r>
            <w:r w:rsidRPr="004423A3">
              <w:rPr>
                <w:rFonts w:ascii="Arial" w:hAnsi="Arial" w:cs="Arial"/>
                <w:highlight w:val="yellow"/>
              </w:rPr>
              <w:t>awareness</w:t>
            </w:r>
            <w:r w:rsidRPr="004423A3">
              <w:rPr>
                <w:rFonts w:ascii="Arial" w:hAnsi="Arial" w:cs="Arial"/>
              </w:rPr>
              <w:t xml:space="preserve"> of a wide range of careers and pathways.</w:t>
            </w:r>
            <w:r w:rsidRPr="004423A3">
              <w:rPr>
                <w:rFonts w:ascii="Arial" w:hAnsi="Arial" w:cs="Arial"/>
              </w:rPr>
              <w:br/>
              <w:t>Identifying careers preferences based on areas of interest or suitability.</w:t>
            </w:r>
          </w:p>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rsidP="00AF30D2">
            <w:pPr>
              <w:rPr>
                <w:rFonts w:ascii="Arial" w:hAnsi="Arial" w:cs="Arial"/>
              </w:rPr>
            </w:pPr>
            <w:r w:rsidRPr="004423A3">
              <w:rPr>
                <w:rFonts w:ascii="Arial" w:hAnsi="Arial" w:cs="Arial"/>
              </w:rPr>
              <w:t xml:space="preserve">All students to experience CEIAG during PSHE sessions and explore desirable employment qualities – LORIC (Leadership, Organisation, Resilience, Initiative &amp; Communication). </w:t>
            </w:r>
            <w:r w:rsidRPr="004423A3">
              <w:rPr>
                <w:rFonts w:ascii="Arial" w:hAnsi="Arial" w:cs="Arial"/>
                <w:highlight w:val="green"/>
              </w:rPr>
              <w:t>Stage 1 Finance.</w:t>
            </w:r>
          </w:p>
          <w:p w:rsidR="005A6F53" w:rsidRPr="004423A3" w:rsidRDefault="005A6F53">
            <w:pPr>
              <w:rPr>
                <w:rFonts w:ascii="Arial" w:hAnsi="Arial" w:cs="Arial"/>
              </w:rPr>
            </w:pPr>
          </w:p>
        </w:tc>
        <w:tc>
          <w:tcPr>
            <w:tcW w:w="2210" w:type="dxa"/>
            <w:shd w:val="clear" w:color="auto" w:fill="auto"/>
          </w:tcPr>
          <w:p w:rsidR="005A6F53" w:rsidRDefault="005A6F53" w:rsidP="00F54A4A">
            <w:pPr>
              <w:jc w:val="center"/>
              <w:rPr>
                <w:rFonts w:ascii="Arial" w:hAnsi="Arial" w:cs="Arial"/>
              </w:rPr>
            </w:pPr>
          </w:p>
          <w:p w:rsidR="00F54A4A" w:rsidRDefault="00F54A4A" w:rsidP="00F54A4A">
            <w:pPr>
              <w:jc w:val="center"/>
              <w:rPr>
                <w:rFonts w:ascii="Arial" w:hAnsi="Arial" w:cs="Arial"/>
              </w:rPr>
            </w:pPr>
          </w:p>
          <w:p w:rsidR="00F54A4A" w:rsidRPr="0089724F" w:rsidRDefault="00F54A4A" w:rsidP="00F54A4A">
            <w:pPr>
              <w:jc w:val="center"/>
              <w:rPr>
                <w:rFonts w:ascii="Arial" w:hAnsi="Arial" w:cs="Arial"/>
              </w:rPr>
            </w:pPr>
            <w:r>
              <w:rPr>
                <w:rFonts w:ascii="Arial" w:hAnsi="Arial" w:cs="Arial"/>
              </w:rPr>
              <w:t>3</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Students can articulate their strengths and how this aligns with the key LORIC qualities.</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rsidP="00491874">
            <w:pPr>
              <w:rPr>
                <w:rFonts w:ascii="Arial" w:hAnsi="Arial" w:cs="Arial"/>
              </w:rPr>
            </w:pPr>
            <w:r w:rsidRPr="004423A3">
              <w:rPr>
                <w:rFonts w:ascii="Arial" w:hAnsi="Arial" w:cs="Arial"/>
              </w:rPr>
              <w:t>Students can list a range of careers linked to the various subjects they study (careers in the curriculum)</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3,4</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rsidP="00491874">
            <w:pPr>
              <w:rPr>
                <w:rFonts w:ascii="Arial" w:hAnsi="Arial" w:cs="Arial"/>
              </w:rPr>
            </w:pPr>
            <w:r w:rsidRPr="004423A3">
              <w:rPr>
                <w:rFonts w:ascii="Arial" w:hAnsi="Arial" w:cs="Arial"/>
              </w:rPr>
              <w:t>START – Careers online platform</w:t>
            </w:r>
            <w:r w:rsidR="005A6926">
              <w:rPr>
                <w:rFonts w:ascii="Arial" w:hAnsi="Arial" w:cs="Arial"/>
              </w:rPr>
              <w:t xml:space="preserve"> - Profiling</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Careers programme – STEPS</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rsidP="00491874">
            <w:pPr>
              <w:rPr>
                <w:rFonts w:ascii="Arial" w:hAnsi="Arial" w:cs="Arial"/>
              </w:rPr>
            </w:pPr>
            <w:r w:rsidRPr="004423A3">
              <w:rPr>
                <w:rFonts w:ascii="Arial" w:hAnsi="Arial" w:cs="Arial"/>
              </w:rPr>
              <w:t>Careers assemblies – in house and guest speakers (Various topics – each term)</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2,3,5</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rsidP="00491874">
            <w:pPr>
              <w:rPr>
                <w:rFonts w:ascii="Arial" w:hAnsi="Arial" w:cs="Arial"/>
              </w:rPr>
            </w:pPr>
            <w:r w:rsidRPr="004423A3">
              <w:rPr>
                <w:rFonts w:ascii="Arial" w:hAnsi="Arial" w:cs="Arial"/>
              </w:rPr>
              <w:t>University experience – high aspirations – what this can lead to</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Careers Fayre</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2,3,5</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CEIAG – 1:1 with Careers Advisor</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2,3,8</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 xml:space="preserve">Careers assemblies – careers in the curriculum (Subject departments) </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4</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Drop down (STEM)</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3,4,5</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Pr>
                <w:rFonts w:ascii="Arial" w:hAnsi="Arial" w:cs="Arial"/>
              </w:rPr>
              <w:t>Learn with Us – University of Southampton</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3,5,6,7</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4423A3" w:rsidRDefault="005A6F53">
            <w:pPr>
              <w:rPr>
                <w:rFonts w:ascii="Arial" w:hAnsi="Arial" w:cs="Arial"/>
              </w:rPr>
            </w:pPr>
            <w:r w:rsidRPr="004423A3">
              <w:rPr>
                <w:rFonts w:ascii="Arial" w:hAnsi="Arial" w:cs="Arial"/>
              </w:rPr>
              <w:t>Internal/Externa</w:t>
            </w:r>
            <w:r w:rsidR="00F54A4A">
              <w:rPr>
                <w:rFonts w:ascii="Arial" w:hAnsi="Arial" w:cs="Arial"/>
              </w:rPr>
              <w:t xml:space="preserve">l programmes and experiences </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2,3,5,6</w:t>
            </w:r>
          </w:p>
        </w:tc>
      </w:tr>
      <w:tr w:rsidR="005A6F53" w:rsidRPr="0089724F" w:rsidTr="0085542E">
        <w:tc>
          <w:tcPr>
            <w:tcW w:w="1555" w:type="dxa"/>
            <w:vMerge/>
            <w:shd w:val="clear" w:color="auto" w:fill="FFD966" w:themeFill="accent4" w:themeFillTint="99"/>
          </w:tcPr>
          <w:p w:rsidR="005A6F53" w:rsidRPr="0089724F" w:rsidRDefault="005A6F53">
            <w:pPr>
              <w:rPr>
                <w:rFonts w:ascii="Arial" w:hAnsi="Arial" w:cs="Arial"/>
                <w:b/>
              </w:rPr>
            </w:pPr>
          </w:p>
        </w:tc>
        <w:tc>
          <w:tcPr>
            <w:tcW w:w="3118" w:type="dxa"/>
            <w:vMerge/>
            <w:shd w:val="clear" w:color="auto" w:fill="FFD966" w:themeFill="accent4" w:themeFillTint="99"/>
          </w:tcPr>
          <w:p w:rsidR="005A6F53" w:rsidRPr="0089724F" w:rsidRDefault="005A6F53">
            <w:pPr>
              <w:rPr>
                <w:rFonts w:ascii="Arial" w:hAnsi="Arial" w:cs="Arial"/>
              </w:rPr>
            </w:pPr>
          </w:p>
        </w:tc>
        <w:tc>
          <w:tcPr>
            <w:tcW w:w="8505" w:type="dxa"/>
            <w:shd w:val="clear" w:color="auto" w:fill="FFD966" w:themeFill="accent4" w:themeFillTint="99"/>
          </w:tcPr>
          <w:p w:rsidR="005A6F53" w:rsidRPr="005A6F53" w:rsidRDefault="005A6F53">
            <w:pPr>
              <w:rPr>
                <w:rFonts w:ascii="Arial" w:hAnsi="Arial" w:cs="Arial"/>
              </w:rPr>
            </w:pPr>
            <w:r w:rsidRPr="005A6F53">
              <w:rPr>
                <w:rFonts w:ascii="Arial" w:hAnsi="Arial" w:cs="Arial"/>
              </w:rPr>
              <w:t>Speed Dating - EBP</w:t>
            </w:r>
          </w:p>
        </w:tc>
        <w:tc>
          <w:tcPr>
            <w:tcW w:w="2210" w:type="dxa"/>
            <w:shd w:val="clear" w:color="auto" w:fill="auto"/>
          </w:tcPr>
          <w:p w:rsidR="005A6F53" w:rsidRPr="0089724F" w:rsidRDefault="00F54A4A" w:rsidP="00F54A4A">
            <w:pPr>
              <w:jc w:val="center"/>
              <w:rPr>
                <w:rFonts w:ascii="Arial" w:hAnsi="Arial" w:cs="Arial"/>
              </w:rPr>
            </w:pPr>
            <w:r>
              <w:rPr>
                <w:rFonts w:ascii="Arial" w:hAnsi="Arial" w:cs="Arial"/>
              </w:rPr>
              <w:t>2,3,5</w:t>
            </w:r>
          </w:p>
        </w:tc>
      </w:tr>
    </w:tbl>
    <w:p w:rsidR="00AF30D2" w:rsidRPr="0089724F" w:rsidRDefault="00AF30D2">
      <w:pPr>
        <w:rPr>
          <w:rFonts w:ascii="Arial" w:hAnsi="Arial" w:cs="Arial"/>
        </w:rPr>
      </w:pPr>
    </w:p>
    <w:p w:rsidR="00491874" w:rsidRDefault="00491874">
      <w:pPr>
        <w:rPr>
          <w:rFonts w:ascii="Arial" w:hAnsi="Arial" w:cs="Arial"/>
        </w:rPr>
      </w:pPr>
    </w:p>
    <w:p w:rsidR="005A6F53" w:rsidRDefault="005A6F53">
      <w:pPr>
        <w:rPr>
          <w:rFonts w:ascii="Arial" w:hAnsi="Arial" w:cs="Arial"/>
        </w:rPr>
      </w:pPr>
    </w:p>
    <w:p w:rsidR="005A6F53" w:rsidRPr="0089724F" w:rsidRDefault="005A6F53">
      <w:pPr>
        <w:rPr>
          <w:rFonts w:ascii="Arial" w:hAnsi="Arial" w:cs="Arial"/>
        </w:rPr>
      </w:pPr>
    </w:p>
    <w:tbl>
      <w:tblPr>
        <w:tblStyle w:val="TableGrid"/>
        <w:tblW w:w="0" w:type="auto"/>
        <w:tblLook w:val="04A0" w:firstRow="1" w:lastRow="0" w:firstColumn="1" w:lastColumn="0" w:noHBand="0" w:noVBand="1"/>
      </w:tblPr>
      <w:tblGrid>
        <w:gridCol w:w="1555"/>
        <w:gridCol w:w="3118"/>
        <w:gridCol w:w="8505"/>
        <w:gridCol w:w="2210"/>
      </w:tblGrid>
      <w:tr w:rsidR="00491874" w:rsidRPr="0089724F" w:rsidTr="0081588C">
        <w:tc>
          <w:tcPr>
            <w:tcW w:w="1555" w:type="dxa"/>
            <w:shd w:val="clear" w:color="auto" w:fill="F7CAAC" w:themeFill="accent2" w:themeFillTint="66"/>
          </w:tcPr>
          <w:p w:rsidR="00491874" w:rsidRPr="004423A3" w:rsidRDefault="00491874" w:rsidP="0081588C">
            <w:pPr>
              <w:jc w:val="center"/>
              <w:rPr>
                <w:rFonts w:ascii="Arial" w:hAnsi="Arial" w:cs="Arial"/>
                <w:sz w:val="24"/>
              </w:rPr>
            </w:pPr>
            <w:r w:rsidRPr="004423A3">
              <w:rPr>
                <w:rFonts w:ascii="Arial" w:hAnsi="Arial" w:cs="Arial"/>
                <w:b/>
                <w:sz w:val="24"/>
              </w:rPr>
              <w:lastRenderedPageBreak/>
              <w:t>Year</w:t>
            </w:r>
          </w:p>
        </w:tc>
        <w:tc>
          <w:tcPr>
            <w:tcW w:w="3118" w:type="dxa"/>
            <w:shd w:val="clear" w:color="auto" w:fill="F7CAAC" w:themeFill="accent2" w:themeFillTint="66"/>
          </w:tcPr>
          <w:p w:rsidR="00491874" w:rsidRPr="004423A3" w:rsidRDefault="00491874" w:rsidP="0081588C">
            <w:pPr>
              <w:jc w:val="center"/>
              <w:rPr>
                <w:rFonts w:ascii="Arial" w:hAnsi="Arial" w:cs="Arial"/>
                <w:sz w:val="24"/>
              </w:rPr>
            </w:pPr>
            <w:r w:rsidRPr="004423A3">
              <w:rPr>
                <w:rFonts w:ascii="Arial" w:hAnsi="Arial" w:cs="Arial"/>
                <w:sz w:val="24"/>
              </w:rPr>
              <w:t>Year Aims</w:t>
            </w:r>
          </w:p>
        </w:tc>
        <w:tc>
          <w:tcPr>
            <w:tcW w:w="8505" w:type="dxa"/>
            <w:shd w:val="clear" w:color="auto" w:fill="F7CAAC" w:themeFill="accent2" w:themeFillTint="66"/>
          </w:tcPr>
          <w:p w:rsidR="00491874" w:rsidRPr="004423A3" w:rsidRDefault="00491874" w:rsidP="0081588C">
            <w:pPr>
              <w:jc w:val="center"/>
              <w:rPr>
                <w:rFonts w:ascii="Arial" w:hAnsi="Arial" w:cs="Arial"/>
                <w:sz w:val="24"/>
              </w:rPr>
            </w:pPr>
            <w:r w:rsidRPr="004423A3">
              <w:rPr>
                <w:rFonts w:ascii="Arial" w:hAnsi="Arial" w:cs="Arial"/>
                <w:sz w:val="24"/>
              </w:rPr>
              <w:t>Experiences, Activities &amp; Measurable Outcomes</w:t>
            </w:r>
          </w:p>
        </w:tc>
        <w:tc>
          <w:tcPr>
            <w:tcW w:w="2210" w:type="dxa"/>
            <w:shd w:val="clear" w:color="auto" w:fill="F7CAAC" w:themeFill="accent2" w:themeFillTint="66"/>
          </w:tcPr>
          <w:p w:rsidR="00491874" w:rsidRPr="004423A3" w:rsidRDefault="0085542E" w:rsidP="0081588C">
            <w:pPr>
              <w:jc w:val="center"/>
              <w:rPr>
                <w:rFonts w:ascii="Arial" w:hAnsi="Arial" w:cs="Arial"/>
                <w:sz w:val="24"/>
              </w:rPr>
            </w:pPr>
            <w:r>
              <w:rPr>
                <w:rFonts w:ascii="Arial" w:hAnsi="Arial" w:cs="Arial"/>
                <w:sz w:val="24"/>
              </w:rPr>
              <w:t>Benchmarks</w:t>
            </w:r>
          </w:p>
        </w:tc>
      </w:tr>
      <w:tr w:rsidR="00491874" w:rsidRPr="0089724F" w:rsidTr="0085542E">
        <w:tc>
          <w:tcPr>
            <w:tcW w:w="1555" w:type="dxa"/>
            <w:vMerge w:val="restart"/>
            <w:shd w:val="clear" w:color="auto" w:fill="D9D9D9" w:themeFill="background1" w:themeFillShade="D9"/>
          </w:tcPr>
          <w:p w:rsidR="0089724F" w:rsidRDefault="0089724F" w:rsidP="00AB46E0">
            <w:pPr>
              <w:jc w:val="center"/>
              <w:rPr>
                <w:rFonts w:ascii="Arial" w:hAnsi="Arial" w:cs="Arial"/>
                <w:b/>
                <w:sz w:val="24"/>
              </w:rPr>
            </w:pPr>
          </w:p>
          <w:p w:rsidR="0089724F" w:rsidRDefault="0089724F" w:rsidP="00AB46E0">
            <w:pPr>
              <w:jc w:val="center"/>
              <w:rPr>
                <w:rFonts w:ascii="Arial" w:hAnsi="Arial" w:cs="Arial"/>
                <w:b/>
                <w:sz w:val="24"/>
              </w:rPr>
            </w:pPr>
          </w:p>
          <w:p w:rsidR="00491874" w:rsidRPr="0089724F" w:rsidRDefault="00491874" w:rsidP="00AB46E0">
            <w:pPr>
              <w:jc w:val="center"/>
              <w:rPr>
                <w:rFonts w:ascii="Arial" w:hAnsi="Arial" w:cs="Arial"/>
                <w:b/>
              </w:rPr>
            </w:pPr>
            <w:r w:rsidRPr="0089724F">
              <w:rPr>
                <w:rFonts w:ascii="Arial" w:hAnsi="Arial" w:cs="Arial"/>
                <w:b/>
                <w:sz w:val="56"/>
              </w:rPr>
              <w:t>8</w:t>
            </w:r>
          </w:p>
        </w:tc>
        <w:tc>
          <w:tcPr>
            <w:tcW w:w="3118" w:type="dxa"/>
            <w:vMerge w:val="restart"/>
            <w:shd w:val="clear" w:color="auto" w:fill="D9D9D9" w:themeFill="background1" w:themeFillShade="D9"/>
          </w:tcPr>
          <w:p w:rsidR="00491874" w:rsidRPr="004423A3" w:rsidRDefault="00491874" w:rsidP="00AB46E0">
            <w:pPr>
              <w:rPr>
                <w:rFonts w:ascii="Arial" w:hAnsi="Arial" w:cs="Arial"/>
              </w:rPr>
            </w:pPr>
            <w:r w:rsidRPr="004423A3">
              <w:rPr>
                <w:rFonts w:ascii="Arial" w:eastAsia="Times New Roman" w:hAnsi="Arial" w:cs="Arial"/>
                <w:szCs w:val="20"/>
              </w:rPr>
              <w:t xml:space="preserve">Students </w:t>
            </w:r>
            <w:r w:rsidRPr="004423A3">
              <w:rPr>
                <w:rFonts w:ascii="Arial" w:eastAsia="Times New Roman" w:hAnsi="Arial" w:cs="Arial"/>
                <w:szCs w:val="20"/>
                <w:highlight w:val="yellow"/>
              </w:rPr>
              <w:t>discover</w:t>
            </w:r>
            <w:r w:rsidRPr="004423A3">
              <w:rPr>
                <w:rFonts w:ascii="Arial" w:eastAsia="Times New Roman" w:hAnsi="Arial" w:cs="Arial"/>
                <w:szCs w:val="20"/>
              </w:rPr>
              <w:t xml:space="preserve"> various careers</w:t>
            </w:r>
            <w:r w:rsidR="0081588C" w:rsidRPr="004423A3">
              <w:rPr>
                <w:rFonts w:ascii="Arial" w:eastAsia="Times New Roman" w:hAnsi="Arial" w:cs="Arial"/>
                <w:szCs w:val="20"/>
              </w:rPr>
              <w:t xml:space="preserve"> options</w:t>
            </w:r>
            <w:r w:rsidRPr="004423A3">
              <w:rPr>
                <w:rFonts w:ascii="Arial" w:eastAsia="Times New Roman" w:hAnsi="Arial" w:cs="Arial"/>
                <w:szCs w:val="20"/>
              </w:rPr>
              <w:t xml:space="preserve"> and their career pathways</w:t>
            </w:r>
            <w:r w:rsidR="0081588C" w:rsidRPr="004423A3">
              <w:rPr>
                <w:rFonts w:ascii="Arial" w:eastAsia="Times New Roman" w:hAnsi="Arial" w:cs="Arial"/>
                <w:szCs w:val="20"/>
              </w:rPr>
              <w:t xml:space="preserve"> that match their interest and suitability. Students have an understanding of LMI and the experiences and qualifications that support specific career pathways.</w:t>
            </w:r>
          </w:p>
        </w:tc>
        <w:tc>
          <w:tcPr>
            <w:tcW w:w="8505" w:type="dxa"/>
            <w:shd w:val="clear" w:color="auto" w:fill="D9D9D9" w:themeFill="background1" w:themeFillShade="D9"/>
          </w:tcPr>
          <w:p w:rsidR="00491874" w:rsidRPr="004423A3" w:rsidRDefault="00491874" w:rsidP="00491874">
            <w:pPr>
              <w:spacing w:before="100" w:after="200" w:line="276" w:lineRule="auto"/>
              <w:rPr>
                <w:rFonts w:ascii="Arial" w:hAnsi="Arial" w:cs="Arial"/>
              </w:rPr>
            </w:pPr>
            <w:r w:rsidRPr="004423A3">
              <w:rPr>
                <w:rFonts w:ascii="Arial" w:hAnsi="Arial" w:cs="Arial"/>
              </w:rPr>
              <w:t xml:space="preserve">All students to experience CEIAG during PSHE sessions and explore desirable employment qualities – LORIC (Leadership, Organisation, Resilience, Initiative &amp; Communication). </w:t>
            </w:r>
            <w:r w:rsidRPr="004423A3">
              <w:rPr>
                <w:rFonts w:ascii="Arial" w:hAnsi="Arial" w:cs="Arial"/>
                <w:highlight w:val="green"/>
              </w:rPr>
              <w:t>Stage 2 Careers and Finance.</w:t>
            </w:r>
          </w:p>
        </w:tc>
        <w:tc>
          <w:tcPr>
            <w:tcW w:w="2210" w:type="dxa"/>
            <w:shd w:val="clear" w:color="auto" w:fill="auto"/>
          </w:tcPr>
          <w:p w:rsidR="00F54A4A" w:rsidRDefault="00F54A4A" w:rsidP="00F54A4A">
            <w:pPr>
              <w:jc w:val="center"/>
              <w:rPr>
                <w:rFonts w:ascii="Arial" w:hAnsi="Arial" w:cs="Arial"/>
              </w:rPr>
            </w:pPr>
          </w:p>
          <w:p w:rsidR="00F54A4A" w:rsidRDefault="00F54A4A" w:rsidP="00F54A4A">
            <w:pPr>
              <w:jc w:val="center"/>
              <w:rPr>
                <w:rFonts w:ascii="Arial" w:hAnsi="Arial" w:cs="Arial"/>
              </w:rPr>
            </w:pPr>
          </w:p>
          <w:p w:rsidR="00491874" w:rsidRPr="0089724F" w:rsidRDefault="00F54A4A" w:rsidP="00F54A4A">
            <w:pPr>
              <w:jc w:val="center"/>
              <w:rPr>
                <w:rFonts w:ascii="Arial" w:hAnsi="Arial" w:cs="Arial"/>
              </w:rPr>
            </w:pPr>
            <w:r>
              <w:rPr>
                <w:rFonts w:ascii="Arial" w:hAnsi="Arial" w:cs="Arial"/>
              </w:rPr>
              <w:t>3</w:t>
            </w:r>
          </w:p>
        </w:tc>
      </w:tr>
      <w:tr w:rsidR="00B61C6A" w:rsidRPr="0089724F" w:rsidTr="0085542E">
        <w:tc>
          <w:tcPr>
            <w:tcW w:w="1555" w:type="dxa"/>
            <w:vMerge/>
            <w:shd w:val="clear" w:color="auto" w:fill="D9D9D9" w:themeFill="background1" w:themeFillShade="D9"/>
          </w:tcPr>
          <w:p w:rsidR="00B61C6A" w:rsidRPr="0089724F" w:rsidRDefault="00B61C6A" w:rsidP="00B61C6A">
            <w:pPr>
              <w:jc w:val="center"/>
              <w:rPr>
                <w:rFonts w:ascii="Arial" w:hAnsi="Arial" w:cs="Arial"/>
                <w:b/>
              </w:rPr>
            </w:pPr>
          </w:p>
        </w:tc>
        <w:tc>
          <w:tcPr>
            <w:tcW w:w="3118" w:type="dxa"/>
            <w:vMerge/>
            <w:shd w:val="clear" w:color="auto" w:fill="D9D9D9" w:themeFill="background1" w:themeFillShade="D9"/>
          </w:tcPr>
          <w:p w:rsidR="00B61C6A" w:rsidRPr="004423A3" w:rsidRDefault="00B61C6A" w:rsidP="00B61C6A">
            <w:pPr>
              <w:rPr>
                <w:rFonts w:ascii="Arial" w:eastAsia="Times New Roman" w:hAnsi="Arial" w:cs="Arial"/>
                <w:szCs w:val="20"/>
              </w:rPr>
            </w:pPr>
          </w:p>
        </w:tc>
        <w:tc>
          <w:tcPr>
            <w:tcW w:w="8505" w:type="dxa"/>
            <w:shd w:val="clear" w:color="auto" w:fill="D9D9D9" w:themeFill="background1" w:themeFillShade="D9"/>
          </w:tcPr>
          <w:p w:rsidR="00B61C6A" w:rsidRPr="004423A3" w:rsidRDefault="00B61C6A" w:rsidP="00B61C6A">
            <w:pPr>
              <w:rPr>
                <w:rFonts w:ascii="Arial" w:hAnsi="Arial" w:cs="Arial"/>
              </w:rPr>
            </w:pPr>
            <w:r w:rsidRPr="004423A3">
              <w:rPr>
                <w:rFonts w:ascii="Arial" w:hAnsi="Arial" w:cs="Arial"/>
              </w:rPr>
              <w:t>Day in the world of work – application of LORIC</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5,6</w:t>
            </w:r>
          </w:p>
        </w:tc>
      </w:tr>
      <w:tr w:rsidR="00B61C6A" w:rsidRPr="0089724F" w:rsidTr="0085542E">
        <w:tc>
          <w:tcPr>
            <w:tcW w:w="1555" w:type="dxa"/>
            <w:vMerge/>
            <w:shd w:val="clear" w:color="auto" w:fill="D9D9D9" w:themeFill="background1" w:themeFillShade="D9"/>
          </w:tcPr>
          <w:p w:rsidR="00B61C6A" w:rsidRPr="0089724F" w:rsidRDefault="00B61C6A" w:rsidP="00B61C6A">
            <w:pPr>
              <w:rPr>
                <w:rFonts w:ascii="Arial" w:hAnsi="Arial" w:cs="Arial"/>
                <w:b/>
              </w:rPr>
            </w:pPr>
          </w:p>
        </w:tc>
        <w:tc>
          <w:tcPr>
            <w:tcW w:w="3118" w:type="dxa"/>
            <w:vMerge/>
            <w:shd w:val="clear" w:color="auto" w:fill="D9D9D9" w:themeFill="background1" w:themeFillShade="D9"/>
          </w:tcPr>
          <w:p w:rsidR="00B61C6A" w:rsidRPr="004423A3" w:rsidRDefault="00B61C6A" w:rsidP="00B61C6A">
            <w:pPr>
              <w:rPr>
                <w:rFonts w:ascii="Arial" w:hAnsi="Arial" w:cs="Arial"/>
              </w:rPr>
            </w:pPr>
          </w:p>
        </w:tc>
        <w:tc>
          <w:tcPr>
            <w:tcW w:w="8505" w:type="dxa"/>
            <w:shd w:val="clear" w:color="auto" w:fill="D9D9D9" w:themeFill="background1" w:themeFillShade="D9"/>
          </w:tcPr>
          <w:p w:rsidR="00B61C6A" w:rsidRPr="004423A3" w:rsidRDefault="00B61C6A" w:rsidP="00B61C6A">
            <w:pPr>
              <w:rPr>
                <w:rFonts w:ascii="Arial" w:hAnsi="Arial" w:cs="Arial"/>
              </w:rPr>
            </w:pPr>
            <w:r w:rsidRPr="004423A3">
              <w:rPr>
                <w:rFonts w:ascii="Arial" w:hAnsi="Arial" w:cs="Arial"/>
              </w:rPr>
              <w:t>START – Careers online platform</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w:t>
            </w:r>
          </w:p>
        </w:tc>
      </w:tr>
      <w:tr w:rsidR="00B61C6A" w:rsidRPr="0089724F" w:rsidTr="0085542E">
        <w:tc>
          <w:tcPr>
            <w:tcW w:w="1555" w:type="dxa"/>
            <w:vMerge/>
            <w:shd w:val="clear" w:color="auto" w:fill="D9D9D9" w:themeFill="background1" w:themeFillShade="D9"/>
          </w:tcPr>
          <w:p w:rsidR="00B61C6A" w:rsidRPr="0089724F" w:rsidRDefault="00B61C6A" w:rsidP="00B61C6A">
            <w:pPr>
              <w:rPr>
                <w:rFonts w:ascii="Arial" w:hAnsi="Arial" w:cs="Arial"/>
                <w:b/>
              </w:rPr>
            </w:pPr>
          </w:p>
        </w:tc>
        <w:tc>
          <w:tcPr>
            <w:tcW w:w="3118" w:type="dxa"/>
            <w:vMerge/>
            <w:shd w:val="clear" w:color="auto" w:fill="D9D9D9" w:themeFill="background1" w:themeFillShade="D9"/>
          </w:tcPr>
          <w:p w:rsidR="00B61C6A" w:rsidRPr="004423A3" w:rsidRDefault="00B61C6A" w:rsidP="00B61C6A">
            <w:pPr>
              <w:rPr>
                <w:rFonts w:ascii="Arial" w:hAnsi="Arial" w:cs="Arial"/>
              </w:rPr>
            </w:pPr>
          </w:p>
        </w:tc>
        <w:tc>
          <w:tcPr>
            <w:tcW w:w="8505" w:type="dxa"/>
            <w:shd w:val="clear" w:color="auto" w:fill="D9D9D9" w:themeFill="background1" w:themeFillShade="D9"/>
          </w:tcPr>
          <w:p w:rsidR="00B61C6A" w:rsidRPr="004423A3" w:rsidRDefault="00B61C6A" w:rsidP="00B61C6A">
            <w:pPr>
              <w:rPr>
                <w:rFonts w:ascii="Arial" w:hAnsi="Arial" w:cs="Arial"/>
              </w:rPr>
            </w:pPr>
            <w:r w:rsidRPr="004423A3">
              <w:rPr>
                <w:rFonts w:ascii="Arial" w:hAnsi="Arial" w:cs="Arial"/>
              </w:rPr>
              <w:t>Careers programme – STEPS</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w:t>
            </w:r>
          </w:p>
        </w:tc>
      </w:tr>
      <w:tr w:rsidR="00B61C6A" w:rsidRPr="0089724F" w:rsidTr="0085542E">
        <w:tc>
          <w:tcPr>
            <w:tcW w:w="1555" w:type="dxa"/>
            <w:vMerge/>
            <w:shd w:val="clear" w:color="auto" w:fill="D9D9D9" w:themeFill="background1" w:themeFillShade="D9"/>
          </w:tcPr>
          <w:p w:rsidR="00B61C6A" w:rsidRPr="0089724F" w:rsidRDefault="00B61C6A" w:rsidP="00B61C6A">
            <w:pPr>
              <w:rPr>
                <w:rFonts w:ascii="Arial" w:hAnsi="Arial" w:cs="Arial"/>
                <w:b/>
              </w:rPr>
            </w:pPr>
          </w:p>
        </w:tc>
        <w:tc>
          <w:tcPr>
            <w:tcW w:w="3118" w:type="dxa"/>
            <w:vMerge/>
            <w:shd w:val="clear" w:color="auto" w:fill="D9D9D9" w:themeFill="background1" w:themeFillShade="D9"/>
          </w:tcPr>
          <w:p w:rsidR="00B61C6A" w:rsidRPr="004423A3" w:rsidRDefault="00B61C6A" w:rsidP="00B61C6A">
            <w:pPr>
              <w:rPr>
                <w:rFonts w:ascii="Arial" w:hAnsi="Arial" w:cs="Arial"/>
              </w:rPr>
            </w:pPr>
          </w:p>
        </w:tc>
        <w:tc>
          <w:tcPr>
            <w:tcW w:w="8505" w:type="dxa"/>
            <w:shd w:val="clear" w:color="auto" w:fill="D9D9D9" w:themeFill="background1" w:themeFillShade="D9"/>
          </w:tcPr>
          <w:p w:rsidR="00B61C6A" w:rsidRPr="004423A3" w:rsidRDefault="00B61C6A" w:rsidP="00B61C6A">
            <w:pPr>
              <w:rPr>
                <w:rFonts w:ascii="Arial" w:hAnsi="Arial" w:cs="Arial"/>
              </w:rPr>
            </w:pPr>
            <w:r w:rsidRPr="004423A3">
              <w:rPr>
                <w:rFonts w:ascii="Arial" w:hAnsi="Arial" w:cs="Arial"/>
              </w:rPr>
              <w:t>Careers assemblies – in house and guest speakers (Various topics – each term)</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2,3,5</w:t>
            </w:r>
          </w:p>
        </w:tc>
      </w:tr>
      <w:tr w:rsidR="00B61C6A" w:rsidRPr="0089724F" w:rsidTr="0085542E">
        <w:tc>
          <w:tcPr>
            <w:tcW w:w="1555" w:type="dxa"/>
            <w:vMerge/>
            <w:shd w:val="clear" w:color="auto" w:fill="D9D9D9" w:themeFill="background1" w:themeFillShade="D9"/>
          </w:tcPr>
          <w:p w:rsidR="00B61C6A" w:rsidRPr="0089724F" w:rsidRDefault="00B61C6A" w:rsidP="00B61C6A">
            <w:pPr>
              <w:rPr>
                <w:rFonts w:ascii="Arial" w:hAnsi="Arial" w:cs="Arial"/>
                <w:b/>
              </w:rPr>
            </w:pPr>
          </w:p>
        </w:tc>
        <w:tc>
          <w:tcPr>
            <w:tcW w:w="3118" w:type="dxa"/>
            <w:vMerge/>
            <w:shd w:val="clear" w:color="auto" w:fill="D9D9D9" w:themeFill="background1" w:themeFillShade="D9"/>
          </w:tcPr>
          <w:p w:rsidR="00B61C6A" w:rsidRPr="004423A3" w:rsidRDefault="00B61C6A" w:rsidP="00B61C6A">
            <w:pPr>
              <w:rPr>
                <w:rFonts w:ascii="Arial" w:hAnsi="Arial" w:cs="Arial"/>
              </w:rPr>
            </w:pPr>
          </w:p>
        </w:tc>
        <w:tc>
          <w:tcPr>
            <w:tcW w:w="8505" w:type="dxa"/>
            <w:shd w:val="clear" w:color="auto" w:fill="D9D9D9" w:themeFill="background1" w:themeFillShade="D9"/>
          </w:tcPr>
          <w:p w:rsidR="00B61C6A" w:rsidRPr="004423A3" w:rsidRDefault="00B61C6A" w:rsidP="00B61C6A">
            <w:pPr>
              <w:rPr>
                <w:rFonts w:ascii="Arial" w:hAnsi="Arial" w:cs="Arial"/>
              </w:rPr>
            </w:pPr>
            <w:r w:rsidRPr="004423A3">
              <w:rPr>
                <w:rFonts w:ascii="Arial" w:hAnsi="Arial" w:cs="Arial"/>
              </w:rPr>
              <w:t>Careers assemblies – careers in the curriculum (Subject departments)</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4</w:t>
            </w:r>
          </w:p>
        </w:tc>
      </w:tr>
      <w:tr w:rsidR="009B0A48" w:rsidRPr="0089724F" w:rsidTr="0085542E">
        <w:tc>
          <w:tcPr>
            <w:tcW w:w="1555" w:type="dxa"/>
            <w:vMerge/>
            <w:shd w:val="clear" w:color="auto" w:fill="D9D9D9" w:themeFill="background1" w:themeFillShade="D9"/>
          </w:tcPr>
          <w:p w:rsidR="009B0A48" w:rsidRPr="0089724F" w:rsidRDefault="009B0A48" w:rsidP="00B61C6A">
            <w:pPr>
              <w:rPr>
                <w:rFonts w:ascii="Arial" w:hAnsi="Arial" w:cs="Arial"/>
                <w:b/>
              </w:rPr>
            </w:pPr>
          </w:p>
        </w:tc>
        <w:tc>
          <w:tcPr>
            <w:tcW w:w="3118" w:type="dxa"/>
            <w:vMerge/>
            <w:shd w:val="clear" w:color="auto" w:fill="D9D9D9" w:themeFill="background1" w:themeFillShade="D9"/>
          </w:tcPr>
          <w:p w:rsidR="009B0A48" w:rsidRPr="004423A3" w:rsidRDefault="009B0A48" w:rsidP="00B61C6A">
            <w:pPr>
              <w:rPr>
                <w:rFonts w:ascii="Arial" w:hAnsi="Arial" w:cs="Arial"/>
              </w:rPr>
            </w:pPr>
          </w:p>
        </w:tc>
        <w:tc>
          <w:tcPr>
            <w:tcW w:w="8505" w:type="dxa"/>
            <w:shd w:val="clear" w:color="auto" w:fill="D9D9D9" w:themeFill="background1" w:themeFillShade="D9"/>
          </w:tcPr>
          <w:p w:rsidR="009B0A48" w:rsidRPr="004423A3" w:rsidRDefault="009B0A48" w:rsidP="00B61C6A">
            <w:pPr>
              <w:rPr>
                <w:rFonts w:ascii="Arial" w:hAnsi="Arial" w:cs="Arial"/>
              </w:rPr>
            </w:pPr>
            <w:r>
              <w:rPr>
                <w:rFonts w:ascii="Arial" w:hAnsi="Arial" w:cs="Arial"/>
              </w:rPr>
              <w:t>Learn with Us – University of Southampton</w:t>
            </w:r>
          </w:p>
        </w:tc>
        <w:tc>
          <w:tcPr>
            <w:tcW w:w="2210" w:type="dxa"/>
            <w:shd w:val="clear" w:color="auto" w:fill="auto"/>
          </w:tcPr>
          <w:p w:rsidR="009B0A48" w:rsidRPr="0089724F" w:rsidRDefault="00F54A4A" w:rsidP="00F54A4A">
            <w:pPr>
              <w:jc w:val="center"/>
              <w:rPr>
                <w:rFonts w:ascii="Arial" w:hAnsi="Arial" w:cs="Arial"/>
              </w:rPr>
            </w:pPr>
            <w:r>
              <w:rPr>
                <w:rFonts w:ascii="Arial" w:hAnsi="Arial" w:cs="Arial"/>
              </w:rPr>
              <w:t>3,5,6,7</w:t>
            </w:r>
          </w:p>
        </w:tc>
      </w:tr>
      <w:tr w:rsidR="00B61C6A" w:rsidRPr="0089724F" w:rsidTr="0085542E">
        <w:tc>
          <w:tcPr>
            <w:tcW w:w="1555" w:type="dxa"/>
            <w:vMerge/>
            <w:shd w:val="clear" w:color="auto" w:fill="D9D9D9" w:themeFill="background1" w:themeFillShade="D9"/>
          </w:tcPr>
          <w:p w:rsidR="00B61C6A" w:rsidRPr="0089724F" w:rsidRDefault="00B61C6A" w:rsidP="00B61C6A">
            <w:pPr>
              <w:rPr>
                <w:rFonts w:ascii="Arial" w:hAnsi="Arial" w:cs="Arial"/>
                <w:b/>
              </w:rPr>
            </w:pPr>
          </w:p>
        </w:tc>
        <w:tc>
          <w:tcPr>
            <w:tcW w:w="3118" w:type="dxa"/>
            <w:vMerge/>
            <w:shd w:val="clear" w:color="auto" w:fill="D9D9D9" w:themeFill="background1" w:themeFillShade="D9"/>
          </w:tcPr>
          <w:p w:rsidR="00B61C6A" w:rsidRPr="004423A3" w:rsidRDefault="00B61C6A" w:rsidP="00B61C6A">
            <w:pPr>
              <w:rPr>
                <w:rFonts w:ascii="Arial" w:hAnsi="Arial" w:cs="Arial"/>
              </w:rPr>
            </w:pPr>
          </w:p>
        </w:tc>
        <w:tc>
          <w:tcPr>
            <w:tcW w:w="8505" w:type="dxa"/>
            <w:shd w:val="clear" w:color="auto" w:fill="D9D9D9" w:themeFill="background1" w:themeFillShade="D9"/>
          </w:tcPr>
          <w:p w:rsidR="00B61C6A" w:rsidRPr="004423A3" w:rsidRDefault="00B61C6A" w:rsidP="00B61C6A">
            <w:pPr>
              <w:rPr>
                <w:rFonts w:ascii="Arial" w:hAnsi="Arial" w:cs="Arial"/>
              </w:rPr>
            </w:pPr>
            <w:r w:rsidRPr="004423A3">
              <w:rPr>
                <w:rFonts w:ascii="Arial" w:hAnsi="Arial" w:cs="Arial"/>
              </w:rPr>
              <w:t>Internal/External programmes and experiences TBC</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2,3,5,6</w:t>
            </w:r>
          </w:p>
        </w:tc>
      </w:tr>
    </w:tbl>
    <w:p w:rsidR="00491874" w:rsidRPr="0089724F" w:rsidRDefault="00491874">
      <w:pPr>
        <w:rPr>
          <w:rFonts w:ascii="Arial" w:hAnsi="Arial" w:cs="Arial"/>
        </w:rPr>
      </w:pPr>
    </w:p>
    <w:tbl>
      <w:tblPr>
        <w:tblStyle w:val="TableGrid"/>
        <w:tblW w:w="0" w:type="auto"/>
        <w:tblLook w:val="04A0" w:firstRow="1" w:lastRow="0" w:firstColumn="1" w:lastColumn="0" w:noHBand="0" w:noVBand="1"/>
      </w:tblPr>
      <w:tblGrid>
        <w:gridCol w:w="1555"/>
        <w:gridCol w:w="3118"/>
        <w:gridCol w:w="8505"/>
        <w:gridCol w:w="2210"/>
      </w:tblGrid>
      <w:tr w:rsidR="0081588C" w:rsidRPr="0089724F" w:rsidTr="00AB46E0">
        <w:tc>
          <w:tcPr>
            <w:tcW w:w="1555" w:type="dxa"/>
            <w:shd w:val="clear" w:color="auto" w:fill="F7CAAC" w:themeFill="accent2" w:themeFillTint="66"/>
          </w:tcPr>
          <w:p w:rsidR="0081588C" w:rsidRPr="004423A3" w:rsidRDefault="0081588C" w:rsidP="0081588C">
            <w:pPr>
              <w:jc w:val="center"/>
              <w:rPr>
                <w:rFonts w:ascii="Arial" w:hAnsi="Arial" w:cs="Arial"/>
                <w:sz w:val="24"/>
              </w:rPr>
            </w:pPr>
            <w:r w:rsidRPr="004423A3">
              <w:rPr>
                <w:rFonts w:ascii="Arial" w:hAnsi="Arial" w:cs="Arial"/>
                <w:b/>
                <w:sz w:val="24"/>
              </w:rPr>
              <w:t>Year</w:t>
            </w:r>
          </w:p>
        </w:tc>
        <w:tc>
          <w:tcPr>
            <w:tcW w:w="3118" w:type="dxa"/>
            <w:shd w:val="clear" w:color="auto" w:fill="F7CAAC" w:themeFill="accent2" w:themeFillTint="66"/>
          </w:tcPr>
          <w:p w:rsidR="0081588C" w:rsidRPr="004423A3" w:rsidRDefault="0081588C" w:rsidP="0081588C">
            <w:pPr>
              <w:jc w:val="center"/>
              <w:rPr>
                <w:rFonts w:ascii="Arial" w:hAnsi="Arial" w:cs="Arial"/>
                <w:sz w:val="24"/>
              </w:rPr>
            </w:pPr>
            <w:r w:rsidRPr="004423A3">
              <w:rPr>
                <w:rFonts w:ascii="Arial" w:hAnsi="Arial" w:cs="Arial"/>
                <w:sz w:val="24"/>
              </w:rPr>
              <w:t>Year Aims</w:t>
            </w:r>
          </w:p>
        </w:tc>
        <w:tc>
          <w:tcPr>
            <w:tcW w:w="8505" w:type="dxa"/>
            <w:shd w:val="clear" w:color="auto" w:fill="F7CAAC" w:themeFill="accent2" w:themeFillTint="66"/>
          </w:tcPr>
          <w:p w:rsidR="0081588C" w:rsidRPr="004423A3" w:rsidRDefault="0081588C" w:rsidP="0081588C">
            <w:pPr>
              <w:jc w:val="center"/>
              <w:rPr>
                <w:rFonts w:ascii="Arial" w:hAnsi="Arial" w:cs="Arial"/>
                <w:sz w:val="24"/>
              </w:rPr>
            </w:pPr>
            <w:r w:rsidRPr="004423A3">
              <w:rPr>
                <w:rFonts w:ascii="Arial" w:hAnsi="Arial" w:cs="Arial"/>
                <w:sz w:val="24"/>
              </w:rPr>
              <w:t>Experiences, Activities &amp; Measurable Outcomes</w:t>
            </w:r>
          </w:p>
        </w:tc>
        <w:tc>
          <w:tcPr>
            <w:tcW w:w="2210" w:type="dxa"/>
            <w:shd w:val="clear" w:color="auto" w:fill="F7CAAC" w:themeFill="accent2" w:themeFillTint="66"/>
          </w:tcPr>
          <w:p w:rsidR="0081588C" w:rsidRPr="004423A3" w:rsidRDefault="0085542E" w:rsidP="0081588C">
            <w:pPr>
              <w:jc w:val="center"/>
              <w:rPr>
                <w:rFonts w:ascii="Arial" w:hAnsi="Arial" w:cs="Arial"/>
                <w:sz w:val="24"/>
              </w:rPr>
            </w:pPr>
            <w:r>
              <w:rPr>
                <w:rFonts w:ascii="Arial" w:hAnsi="Arial" w:cs="Arial"/>
                <w:sz w:val="24"/>
              </w:rPr>
              <w:t>Benchmarks</w:t>
            </w:r>
          </w:p>
        </w:tc>
      </w:tr>
      <w:tr w:rsidR="00B61C6A" w:rsidRPr="0089724F" w:rsidTr="0085542E">
        <w:tc>
          <w:tcPr>
            <w:tcW w:w="1555" w:type="dxa"/>
            <w:vMerge w:val="restart"/>
            <w:shd w:val="clear" w:color="auto" w:fill="FFC000"/>
          </w:tcPr>
          <w:p w:rsidR="0089724F" w:rsidRDefault="0089724F" w:rsidP="0089724F">
            <w:pPr>
              <w:jc w:val="center"/>
              <w:rPr>
                <w:rFonts w:ascii="Arial" w:hAnsi="Arial" w:cs="Arial"/>
                <w:b/>
                <w:sz w:val="24"/>
              </w:rPr>
            </w:pPr>
          </w:p>
          <w:p w:rsidR="0089724F" w:rsidRDefault="0089724F" w:rsidP="0089724F">
            <w:pPr>
              <w:jc w:val="center"/>
              <w:rPr>
                <w:rFonts w:ascii="Arial" w:hAnsi="Arial" w:cs="Arial"/>
                <w:b/>
                <w:sz w:val="24"/>
              </w:rPr>
            </w:pPr>
          </w:p>
          <w:p w:rsidR="0089724F" w:rsidRDefault="0089724F" w:rsidP="0089724F">
            <w:pPr>
              <w:jc w:val="center"/>
              <w:rPr>
                <w:rFonts w:ascii="Arial" w:hAnsi="Arial" w:cs="Arial"/>
                <w:b/>
                <w:sz w:val="24"/>
              </w:rPr>
            </w:pPr>
          </w:p>
          <w:p w:rsidR="0089724F" w:rsidRDefault="0089724F" w:rsidP="0089724F">
            <w:pPr>
              <w:jc w:val="center"/>
              <w:rPr>
                <w:rFonts w:ascii="Arial" w:hAnsi="Arial" w:cs="Arial"/>
                <w:b/>
                <w:sz w:val="24"/>
              </w:rPr>
            </w:pPr>
          </w:p>
          <w:p w:rsidR="0089724F" w:rsidRDefault="0089724F" w:rsidP="0089724F">
            <w:pPr>
              <w:jc w:val="center"/>
              <w:rPr>
                <w:rFonts w:ascii="Arial" w:hAnsi="Arial" w:cs="Arial"/>
                <w:b/>
                <w:sz w:val="24"/>
              </w:rPr>
            </w:pPr>
          </w:p>
          <w:p w:rsidR="00B61C6A" w:rsidRPr="0089724F" w:rsidRDefault="00B61C6A" w:rsidP="0089724F">
            <w:pPr>
              <w:jc w:val="center"/>
              <w:rPr>
                <w:rFonts w:ascii="Arial" w:hAnsi="Arial" w:cs="Arial"/>
                <w:b/>
              </w:rPr>
            </w:pPr>
            <w:r w:rsidRPr="0089724F">
              <w:rPr>
                <w:rFonts w:ascii="Arial" w:hAnsi="Arial" w:cs="Arial"/>
                <w:b/>
                <w:sz w:val="56"/>
              </w:rPr>
              <w:t>9</w:t>
            </w:r>
          </w:p>
        </w:tc>
        <w:tc>
          <w:tcPr>
            <w:tcW w:w="3118" w:type="dxa"/>
            <w:vMerge w:val="restart"/>
            <w:shd w:val="clear" w:color="auto" w:fill="FFC000"/>
          </w:tcPr>
          <w:p w:rsidR="00B61C6A" w:rsidRPr="004423A3" w:rsidRDefault="00B61C6A" w:rsidP="00AB46E0">
            <w:pPr>
              <w:rPr>
                <w:rFonts w:ascii="Arial" w:hAnsi="Arial" w:cs="Arial"/>
              </w:rPr>
            </w:pPr>
            <w:r w:rsidRPr="004423A3">
              <w:rPr>
                <w:rFonts w:ascii="Arial" w:hAnsi="Arial" w:cs="Arial"/>
              </w:rPr>
              <w:t xml:space="preserve">Students make decisions about GCSE options that have clear link to careers in </w:t>
            </w:r>
            <w:r w:rsidRPr="004423A3">
              <w:rPr>
                <w:rFonts w:ascii="Arial" w:hAnsi="Arial" w:cs="Arial"/>
                <w:highlight w:val="yellow"/>
              </w:rPr>
              <w:t>preparation</w:t>
            </w:r>
            <w:r w:rsidRPr="004423A3">
              <w:rPr>
                <w:rFonts w:ascii="Arial" w:hAnsi="Arial" w:cs="Arial"/>
              </w:rPr>
              <w:t xml:space="preserve"> for future progression and post 16 choices.</w:t>
            </w:r>
          </w:p>
        </w:tc>
        <w:tc>
          <w:tcPr>
            <w:tcW w:w="8505" w:type="dxa"/>
            <w:shd w:val="clear" w:color="auto" w:fill="FFC000"/>
          </w:tcPr>
          <w:p w:rsidR="00B61C6A" w:rsidRPr="004423A3" w:rsidRDefault="00B61C6A" w:rsidP="00AB46E0">
            <w:pPr>
              <w:spacing w:before="100" w:after="200" w:line="276" w:lineRule="auto"/>
              <w:rPr>
                <w:rFonts w:ascii="Arial" w:hAnsi="Arial" w:cs="Arial"/>
              </w:rPr>
            </w:pPr>
            <w:r w:rsidRPr="004423A3">
              <w:rPr>
                <w:rFonts w:ascii="Arial" w:hAnsi="Arial" w:cs="Arial"/>
              </w:rPr>
              <w:t xml:space="preserve">All students to experience CEIAG during PSHE sessions and explore desirable employment qualities – LORIC (Leadership, Organisation, Resilience, Initiative &amp; Communication). </w:t>
            </w:r>
            <w:r w:rsidRPr="004423A3">
              <w:rPr>
                <w:rFonts w:ascii="Arial" w:hAnsi="Arial" w:cs="Arial"/>
                <w:highlight w:val="green"/>
              </w:rPr>
              <w:t>Stage 3 Careers, Finance &amp; Opportunities.</w:t>
            </w:r>
          </w:p>
        </w:tc>
        <w:tc>
          <w:tcPr>
            <w:tcW w:w="2210" w:type="dxa"/>
            <w:shd w:val="clear" w:color="auto" w:fill="auto"/>
          </w:tcPr>
          <w:p w:rsidR="00B61C6A" w:rsidRDefault="00B61C6A" w:rsidP="00AB46E0">
            <w:pPr>
              <w:rPr>
                <w:rFonts w:ascii="Arial" w:hAnsi="Arial" w:cs="Arial"/>
              </w:rPr>
            </w:pPr>
          </w:p>
          <w:p w:rsidR="00F54A4A" w:rsidRDefault="00F54A4A" w:rsidP="00AB46E0">
            <w:pPr>
              <w:rPr>
                <w:rFonts w:ascii="Arial" w:hAnsi="Arial" w:cs="Arial"/>
              </w:rPr>
            </w:pPr>
          </w:p>
          <w:p w:rsidR="00F54A4A" w:rsidRPr="0089724F" w:rsidRDefault="00F54A4A" w:rsidP="00F54A4A">
            <w:pPr>
              <w:jc w:val="center"/>
              <w:rPr>
                <w:rFonts w:ascii="Arial" w:hAnsi="Arial" w:cs="Arial"/>
              </w:rPr>
            </w:pPr>
            <w:r>
              <w:rPr>
                <w:rFonts w:ascii="Arial" w:hAnsi="Arial" w:cs="Arial"/>
              </w:rPr>
              <w:t>3</w:t>
            </w:r>
          </w:p>
        </w:tc>
      </w:tr>
      <w:tr w:rsidR="00B61C6A" w:rsidRPr="0089724F" w:rsidTr="0085542E">
        <w:tc>
          <w:tcPr>
            <w:tcW w:w="1555" w:type="dxa"/>
            <w:vMerge/>
            <w:shd w:val="clear" w:color="auto" w:fill="FFC000"/>
          </w:tcPr>
          <w:p w:rsidR="00B61C6A" w:rsidRPr="0089724F" w:rsidRDefault="00B61C6A" w:rsidP="0081588C">
            <w:pPr>
              <w:rPr>
                <w:rFonts w:ascii="Arial" w:hAnsi="Arial" w:cs="Arial"/>
                <w:b/>
              </w:rPr>
            </w:pPr>
          </w:p>
        </w:tc>
        <w:tc>
          <w:tcPr>
            <w:tcW w:w="3118" w:type="dxa"/>
            <w:vMerge/>
            <w:shd w:val="clear" w:color="auto" w:fill="FFC000"/>
          </w:tcPr>
          <w:p w:rsidR="00B61C6A" w:rsidRPr="004423A3" w:rsidRDefault="00B61C6A" w:rsidP="0081588C">
            <w:pPr>
              <w:rPr>
                <w:rFonts w:ascii="Arial" w:hAnsi="Arial" w:cs="Arial"/>
              </w:rPr>
            </w:pPr>
          </w:p>
        </w:tc>
        <w:tc>
          <w:tcPr>
            <w:tcW w:w="8505" w:type="dxa"/>
            <w:shd w:val="clear" w:color="auto" w:fill="FFC000"/>
          </w:tcPr>
          <w:p w:rsidR="00B61C6A" w:rsidRPr="004423A3" w:rsidRDefault="00B61C6A" w:rsidP="0081588C">
            <w:pPr>
              <w:rPr>
                <w:rFonts w:ascii="Arial" w:hAnsi="Arial" w:cs="Arial"/>
              </w:rPr>
            </w:pPr>
            <w:r w:rsidRPr="004423A3">
              <w:rPr>
                <w:rFonts w:ascii="Arial" w:hAnsi="Arial" w:cs="Arial"/>
              </w:rPr>
              <w:t>START – Careers online platform</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w:t>
            </w:r>
          </w:p>
        </w:tc>
      </w:tr>
      <w:tr w:rsidR="00B61C6A" w:rsidRPr="0089724F" w:rsidTr="0085542E">
        <w:tc>
          <w:tcPr>
            <w:tcW w:w="1555" w:type="dxa"/>
            <w:vMerge/>
            <w:shd w:val="clear" w:color="auto" w:fill="FFC000"/>
          </w:tcPr>
          <w:p w:rsidR="00B61C6A" w:rsidRPr="0089724F" w:rsidRDefault="00B61C6A" w:rsidP="0081588C">
            <w:pPr>
              <w:rPr>
                <w:rFonts w:ascii="Arial" w:hAnsi="Arial" w:cs="Arial"/>
                <w:b/>
              </w:rPr>
            </w:pPr>
          </w:p>
        </w:tc>
        <w:tc>
          <w:tcPr>
            <w:tcW w:w="3118" w:type="dxa"/>
            <w:vMerge/>
            <w:shd w:val="clear" w:color="auto" w:fill="FFC000"/>
          </w:tcPr>
          <w:p w:rsidR="00B61C6A" w:rsidRPr="004423A3" w:rsidRDefault="00B61C6A" w:rsidP="0081588C">
            <w:pPr>
              <w:rPr>
                <w:rFonts w:ascii="Arial" w:hAnsi="Arial" w:cs="Arial"/>
              </w:rPr>
            </w:pPr>
          </w:p>
        </w:tc>
        <w:tc>
          <w:tcPr>
            <w:tcW w:w="8505" w:type="dxa"/>
            <w:shd w:val="clear" w:color="auto" w:fill="FFC000"/>
          </w:tcPr>
          <w:p w:rsidR="00B61C6A" w:rsidRPr="004423A3" w:rsidRDefault="00B61C6A" w:rsidP="0081588C">
            <w:pPr>
              <w:rPr>
                <w:rFonts w:ascii="Arial" w:hAnsi="Arial" w:cs="Arial"/>
              </w:rPr>
            </w:pPr>
            <w:r w:rsidRPr="004423A3">
              <w:rPr>
                <w:rFonts w:ascii="Arial" w:hAnsi="Arial" w:cs="Arial"/>
              </w:rPr>
              <w:t>Careers programme – STEPS (Preferences linked).</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w:t>
            </w:r>
          </w:p>
        </w:tc>
      </w:tr>
      <w:tr w:rsidR="00B61C6A" w:rsidRPr="0089724F" w:rsidTr="0085542E">
        <w:tc>
          <w:tcPr>
            <w:tcW w:w="1555" w:type="dxa"/>
            <w:vMerge/>
            <w:shd w:val="clear" w:color="auto" w:fill="FFC000"/>
          </w:tcPr>
          <w:p w:rsidR="00B61C6A" w:rsidRPr="0089724F" w:rsidRDefault="00B61C6A" w:rsidP="00B61C6A">
            <w:pPr>
              <w:rPr>
                <w:rFonts w:ascii="Arial" w:hAnsi="Arial" w:cs="Arial"/>
                <w:b/>
              </w:rPr>
            </w:pPr>
          </w:p>
        </w:tc>
        <w:tc>
          <w:tcPr>
            <w:tcW w:w="3118" w:type="dxa"/>
            <w:vMerge/>
            <w:shd w:val="clear" w:color="auto" w:fill="FFC000"/>
          </w:tcPr>
          <w:p w:rsidR="00B61C6A" w:rsidRPr="004423A3" w:rsidRDefault="00B61C6A" w:rsidP="00B61C6A">
            <w:pPr>
              <w:rPr>
                <w:rFonts w:ascii="Arial" w:hAnsi="Arial" w:cs="Arial"/>
              </w:rPr>
            </w:pPr>
          </w:p>
        </w:tc>
        <w:tc>
          <w:tcPr>
            <w:tcW w:w="8505" w:type="dxa"/>
            <w:shd w:val="clear" w:color="auto" w:fill="FFC000"/>
          </w:tcPr>
          <w:p w:rsidR="00B61C6A" w:rsidRPr="004423A3" w:rsidRDefault="00B61C6A" w:rsidP="00B61C6A">
            <w:pPr>
              <w:rPr>
                <w:rFonts w:ascii="Arial" w:hAnsi="Arial" w:cs="Arial"/>
              </w:rPr>
            </w:pPr>
            <w:r w:rsidRPr="004423A3">
              <w:rPr>
                <w:rFonts w:ascii="Arial" w:hAnsi="Arial" w:cs="Arial"/>
              </w:rPr>
              <w:t>Careers assemblies – in house and guest speakers (Various topics – each term)</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2,3,5</w:t>
            </w:r>
          </w:p>
        </w:tc>
      </w:tr>
      <w:tr w:rsidR="00B61C6A" w:rsidRPr="0089724F" w:rsidTr="0085542E">
        <w:tc>
          <w:tcPr>
            <w:tcW w:w="1555" w:type="dxa"/>
            <w:vMerge/>
            <w:shd w:val="clear" w:color="auto" w:fill="FFC000"/>
          </w:tcPr>
          <w:p w:rsidR="00B61C6A" w:rsidRPr="0089724F" w:rsidRDefault="00B61C6A" w:rsidP="00B61C6A">
            <w:pPr>
              <w:rPr>
                <w:rFonts w:ascii="Arial" w:hAnsi="Arial" w:cs="Arial"/>
                <w:b/>
              </w:rPr>
            </w:pPr>
          </w:p>
        </w:tc>
        <w:tc>
          <w:tcPr>
            <w:tcW w:w="3118" w:type="dxa"/>
            <w:vMerge/>
            <w:shd w:val="clear" w:color="auto" w:fill="FFC000"/>
          </w:tcPr>
          <w:p w:rsidR="00B61C6A" w:rsidRPr="004423A3" w:rsidRDefault="00B61C6A" w:rsidP="00B61C6A">
            <w:pPr>
              <w:rPr>
                <w:rFonts w:ascii="Arial" w:hAnsi="Arial" w:cs="Arial"/>
              </w:rPr>
            </w:pPr>
          </w:p>
        </w:tc>
        <w:tc>
          <w:tcPr>
            <w:tcW w:w="8505" w:type="dxa"/>
            <w:shd w:val="clear" w:color="auto" w:fill="FFC000"/>
          </w:tcPr>
          <w:p w:rsidR="00B61C6A" w:rsidRPr="004423A3" w:rsidRDefault="00B61C6A" w:rsidP="00B61C6A">
            <w:pPr>
              <w:rPr>
                <w:rFonts w:ascii="Arial" w:hAnsi="Arial" w:cs="Arial"/>
              </w:rPr>
            </w:pPr>
            <w:r w:rsidRPr="004423A3">
              <w:rPr>
                <w:rFonts w:ascii="Arial" w:hAnsi="Arial" w:cs="Arial"/>
              </w:rPr>
              <w:t>Careers assemblies – careers in the curriculum (Subject departments)</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4</w:t>
            </w:r>
          </w:p>
        </w:tc>
      </w:tr>
      <w:tr w:rsidR="00B61C6A" w:rsidRPr="0089724F" w:rsidTr="0085542E">
        <w:tc>
          <w:tcPr>
            <w:tcW w:w="1555" w:type="dxa"/>
            <w:vMerge/>
            <w:shd w:val="clear" w:color="auto" w:fill="FFC000"/>
          </w:tcPr>
          <w:p w:rsidR="00B61C6A" w:rsidRPr="0089724F" w:rsidRDefault="00B61C6A" w:rsidP="00B61C6A">
            <w:pPr>
              <w:rPr>
                <w:rFonts w:ascii="Arial" w:hAnsi="Arial" w:cs="Arial"/>
                <w:b/>
              </w:rPr>
            </w:pPr>
          </w:p>
        </w:tc>
        <w:tc>
          <w:tcPr>
            <w:tcW w:w="3118" w:type="dxa"/>
            <w:vMerge/>
            <w:shd w:val="clear" w:color="auto" w:fill="FFC000"/>
          </w:tcPr>
          <w:p w:rsidR="00B61C6A" w:rsidRPr="004423A3" w:rsidRDefault="00B61C6A" w:rsidP="00B61C6A">
            <w:pPr>
              <w:rPr>
                <w:rFonts w:ascii="Arial" w:hAnsi="Arial" w:cs="Arial"/>
              </w:rPr>
            </w:pPr>
          </w:p>
        </w:tc>
        <w:tc>
          <w:tcPr>
            <w:tcW w:w="8505" w:type="dxa"/>
            <w:shd w:val="clear" w:color="auto" w:fill="FFC000"/>
          </w:tcPr>
          <w:p w:rsidR="00B61C6A" w:rsidRPr="004423A3" w:rsidRDefault="00B61C6A" w:rsidP="00B61C6A">
            <w:pPr>
              <w:rPr>
                <w:rFonts w:ascii="Arial" w:hAnsi="Arial" w:cs="Arial"/>
              </w:rPr>
            </w:pPr>
            <w:r w:rsidRPr="004423A3">
              <w:rPr>
                <w:rFonts w:ascii="Arial" w:hAnsi="Arial" w:cs="Arial"/>
              </w:rPr>
              <w:t xml:space="preserve">CEIAG – 1:1 with Careers Advisor </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2,3,8</w:t>
            </w:r>
          </w:p>
        </w:tc>
      </w:tr>
      <w:tr w:rsidR="00B61C6A" w:rsidRPr="0089724F" w:rsidTr="0085542E">
        <w:tc>
          <w:tcPr>
            <w:tcW w:w="1555" w:type="dxa"/>
            <w:vMerge/>
            <w:shd w:val="clear" w:color="auto" w:fill="FFC000"/>
          </w:tcPr>
          <w:p w:rsidR="00B61C6A" w:rsidRPr="0089724F" w:rsidRDefault="00B61C6A" w:rsidP="00B61C6A">
            <w:pPr>
              <w:rPr>
                <w:rFonts w:ascii="Arial" w:hAnsi="Arial" w:cs="Arial"/>
                <w:b/>
              </w:rPr>
            </w:pPr>
          </w:p>
        </w:tc>
        <w:tc>
          <w:tcPr>
            <w:tcW w:w="3118" w:type="dxa"/>
            <w:vMerge/>
            <w:shd w:val="clear" w:color="auto" w:fill="FFC000"/>
          </w:tcPr>
          <w:p w:rsidR="00B61C6A" w:rsidRPr="004423A3" w:rsidRDefault="00B61C6A" w:rsidP="00B61C6A">
            <w:pPr>
              <w:rPr>
                <w:rFonts w:ascii="Arial" w:hAnsi="Arial" w:cs="Arial"/>
              </w:rPr>
            </w:pPr>
          </w:p>
        </w:tc>
        <w:tc>
          <w:tcPr>
            <w:tcW w:w="8505" w:type="dxa"/>
            <w:shd w:val="clear" w:color="auto" w:fill="FFC000"/>
          </w:tcPr>
          <w:p w:rsidR="00B61C6A" w:rsidRPr="004423A3" w:rsidRDefault="00B61C6A" w:rsidP="00B61C6A">
            <w:pPr>
              <w:rPr>
                <w:rFonts w:ascii="Arial" w:hAnsi="Arial" w:cs="Arial"/>
              </w:rPr>
            </w:pPr>
            <w:r w:rsidRPr="004423A3">
              <w:rPr>
                <w:rFonts w:ascii="Arial" w:hAnsi="Arial" w:cs="Arial"/>
              </w:rPr>
              <w:t>College and university visits</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3,7</w:t>
            </w:r>
          </w:p>
        </w:tc>
      </w:tr>
      <w:tr w:rsidR="009B0A48" w:rsidRPr="0089724F" w:rsidTr="0085542E">
        <w:tc>
          <w:tcPr>
            <w:tcW w:w="1555" w:type="dxa"/>
            <w:vMerge/>
            <w:shd w:val="clear" w:color="auto" w:fill="FFC000"/>
          </w:tcPr>
          <w:p w:rsidR="009B0A48" w:rsidRPr="0089724F" w:rsidRDefault="009B0A48" w:rsidP="00B61C6A">
            <w:pPr>
              <w:rPr>
                <w:rFonts w:ascii="Arial" w:hAnsi="Arial" w:cs="Arial"/>
                <w:b/>
              </w:rPr>
            </w:pPr>
          </w:p>
        </w:tc>
        <w:tc>
          <w:tcPr>
            <w:tcW w:w="3118" w:type="dxa"/>
            <w:vMerge/>
            <w:shd w:val="clear" w:color="auto" w:fill="FFC000"/>
          </w:tcPr>
          <w:p w:rsidR="009B0A48" w:rsidRPr="004423A3" w:rsidRDefault="009B0A48" w:rsidP="00B61C6A">
            <w:pPr>
              <w:rPr>
                <w:rFonts w:ascii="Arial" w:hAnsi="Arial" w:cs="Arial"/>
              </w:rPr>
            </w:pPr>
          </w:p>
        </w:tc>
        <w:tc>
          <w:tcPr>
            <w:tcW w:w="8505" w:type="dxa"/>
            <w:shd w:val="clear" w:color="auto" w:fill="FFC000"/>
          </w:tcPr>
          <w:p w:rsidR="009B0A48" w:rsidRPr="004423A3" w:rsidRDefault="009B0A48" w:rsidP="00B61C6A">
            <w:pPr>
              <w:rPr>
                <w:rFonts w:ascii="Arial" w:hAnsi="Arial" w:cs="Arial"/>
              </w:rPr>
            </w:pPr>
            <w:r>
              <w:rPr>
                <w:rFonts w:ascii="Arial" w:hAnsi="Arial" w:cs="Arial"/>
              </w:rPr>
              <w:t>Learn with Us – University of Southampton</w:t>
            </w:r>
          </w:p>
        </w:tc>
        <w:tc>
          <w:tcPr>
            <w:tcW w:w="2210" w:type="dxa"/>
            <w:shd w:val="clear" w:color="auto" w:fill="auto"/>
          </w:tcPr>
          <w:p w:rsidR="009B0A48" w:rsidRPr="0089724F" w:rsidRDefault="00F54A4A" w:rsidP="00F54A4A">
            <w:pPr>
              <w:jc w:val="center"/>
              <w:rPr>
                <w:rFonts w:ascii="Arial" w:hAnsi="Arial" w:cs="Arial"/>
              </w:rPr>
            </w:pPr>
            <w:r>
              <w:rPr>
                <w:rFonts w:ascii="Arial" w:hAnsi="Arial" w:cs="Arial"/>
              </w:rPr>
              <w:t>3,5,6,7</w:t>
            </w:r>
          </w:p>
        </w:tc>
      </w:tr>
      <w:tr w:rsidR="009B0A48" w:rsidRPr="0089724F" w:rsidTr="0085542E">
        <w:tc>
          <w:tcPr>
            <w:tcW w:w="1555" w:type="dxa"/>
            <w:vMerge/>
            <w:shd w:val="clear" w:color="auto" w:fill="FFC000"/>
          </w:tcPr>
          <w:p w:rsidR="009B0A48" w:rsidRPr="0089724F" w:rsidRDefault="009B0A48" w:rsidP="00B61C6A">
            <w:pPr>
              <w:rPr>
                <w:rFonts w:ascii="Arial" w:hAnsi="Arial" w:cs="Arial"/>
                <w:b/>
              </w:rPr>
            </w:pPr>
          </w:p>
        </w:tc>
        <w:tc>
          <w:tcPr>
            <w:tcW w:w="3118" w:type="dxa"/>
            <w:vMerge/>
            <w:shd w:val="clear" w:color="auto" w:fill="FFC000"/>
          </w:tcPr>
          <w:p w:rsidR="009B0A48" w:rsidRPr="004423A3" w:rsidRDefault="009B0A48" w:rsidP="00B61C6A">
            <w:pPr>
              <w:rPr>
                <w:rFonts w:ascii="Arial" w:hAnsi="Arial" w:cs="Arial"/>
              </w:rPr>
            </w:pPr>
          </w:p>
        </w:tc>
        <w:tc>
          <w:tcPr>
            <w:tcW w:w="8505" w:type="dxa"/>
            <w:shd w:val="clear" w:color="auto" w:fill="FFC000"/>
          </w:tcPr>
          <w:p w:rsidR="009B0A48" w:rsidRDefault="009B0A48" w:rsidP="00B61C6A">
            <w:pPr>
              <w:rPr>
                <w:rFonts w:ascii="Arial" w:hAnsi="Arial" w:cs="Arial"/>
              </w:rPr>
            </w:pPr>
            <w:r>
              <w:rPr>
                <w:rFonts w:ascii="Arial" w:hAnsi="Arial" w:cs="Arial"/>
              </w:rPr>
              <w:t>Business Speed Network</w:t>
            </w:r>
          </w:p>
        </w:tc>
        <w:tc>
          <w:tcPr>
            <w:tcW w:w="2210" w:type="dxa"/>
            <w:shd w:val="clear" w:color="auto" w:fill="auto"/>
          </w:tcPr>
          <w:p w:rsidR="009B0A48" w:rsidRPr="0089724F" w:rsidRDefault="00F54A4A" w:rsidP="00F54A4A">
            <w:pPr>
              <w:jc w:val="center"/>
              <w:rPr>
                <w:rFonts w:ascii="Arial" w:hAnsi="Arial" w:cs="Arial"/>
              </w:rPr>
            </w:pPr>
            <w:r>
              <w:rPr>
                <w:rFonts w:ascii="Arial" w:hAnsi="Arial" w:cs="Arial"/>
              </w:rPr>
              <w:t>3,5</w:t>
            </w:r>
          </w:p>
        </w:tc>
      </w:tr>
      <w:tr w:rsidR="00B61C6A" w:rsidRPr="0089724F" w:rsidTr="0085542E">
        <w:tc>
          <w:tcPr>
            <w:tcW w:w="1555" w:type="dxa"/>
            <w:vMerge/>
            <w:shd w:val="clear" w:color="auto" w:fill="FFC000"/>
          </w:tcPr>
          <w:p w:rsidR="00B61C6A" w:rsidRPr="0089724F" w:rsidRDefault="00B61C6A" w:rsidP="00B61C6A">
            <w:pPr>
              <w:rPr>
                <w:rFonts w:ascii="Arial" w:hAnsi="Arial" w:cs="Arial"/>
                <w:b/>
              </w:rPr>
            </w:pPr>
          </w:p>
        </w:tc>
        <w:tc>
          <w:tcPr>
            <w:tcW w:w="3118" w:type="dxa"/>
            <w:vMerge/>
            <w:shd w:val="clear" w:color="auto" w:fill="FFC000"/>
          </w:tcPr>
          <w:p w:rsidR="00B61C6A" w:rsidRPr="004423A3" w:rsidRDefault="00B61C6A" w:rsidP="00B61C6A">
            <w:pPr>
              <w:rPr>
                <w:rFonts w:ascii="Arial" w:hAnsi="Arial" w:cs="Arial"/>
              </w:rPr>
            </w:pPr>
          </w:p>
        </w:tc>
        <w:tc>
          <w:tcPr>
            <w:tcW w:w="8505" w:type="dxa"/>
            <w:shd w:val="clear" w:color="auto" w:fill="FFC000"/>
          </w:tcPr>
          <w:p w:rsidR="00B61C6A" w:rsidRPr="004423A3" w:rsidRDefault="00B61C6A" w:rsidP="00B61C6A">
            <w:pPr>
              <w:rPr>
                <w:rFonts w:ascii="Arial" w:hAnsi="Arial" w:cs="Arial"/>
              </w:rPr>
            </w:pPr>
            <w:r w:rsidRPr="004423A3">
              <w:rPr>
                <w:rFonts w:ascii="Arial" w:hAnsi="Arial" w:cs="Arial"/>
              </w:rPr>
              <w:t>Internal/External programmes and experiences TBC</w:t>
            </w:r>
          </w:p>
        </w:tc>
        <w:tc>
          <w:tcPr>
            <w:tcW w:w="2210" w:type="dxa"/>
            <w:shd w:val="clear" w:color="auto" w:fill="auto"/>
          </w:tcPr>
          <w:p w:rsidR="00B61C6A" w:rsidRPr="0089724F" w:rsidRDefault="00F54A4A" w:rsidP="00F54A4A">
            <w:pPr>
              <w:jc w:val="center"/>
              <w:rPr>
                <w:rFonts w:ascii="Arial" w:hAnsi="Arial" w:cs="Arial"/>
              </w:rPr>
            </w:pPr>
            <w:r>
              <w:rPr>
                <w:rFonts w:ascii="Arial" w:hAnsi="Arial" w:cs="Arial"/>
              </w:rPr>
              <w:t>2,3,5,6</w:t>
            </w:r>
          </w:p>
        </w:tc>
      </w:tr>
    </w:tbl>
    <w:p w:rsidR="0081588C" w:rsidRDefault="0081588C">
      <w:pPr>
        <w:rPr>
          <w:rFonts w:ascii="Arial" w:hAnsi="Arial" w:cs="Arial"/>
        </w:rPr>
      </w:pPr>
    </w:p>
    <w:p w:rsidR="00414223" w:rsidRDefault="00414223">
      <w:pPr>
        <w:rPr>
          <w:rFonts w:ascii="Arial" w:hAnsi="Arial" w:cs="Arial"/>
        </w:rPr>
      </w:pPr>
    </w:p>
    <w:p w:rsidR="00F54A4A" w:rsidRPr="0089724F" w:rsidRDefault="00F54A4A">
      <w:pPr>
        <w:rPr>
          <w:rFonts w:ascii="Arial" w:hAnsi="Arial" w:cs="Arial"/>
        </w:rPr>
      </w:pPr>
    </w:p>
    <w:p w:rsidR="0081588C" w:rsidRPr="0089724F" w:rsidRDefault="0081588C">
      <w:pPr>
        <w:rPr>
          <w:rFonts w:ascii="Arial" w:hAnsi="Arial" w:cs="Arial"/>
        </w:rPr>
      </w:pPr>
    </w:p>
    <w:tbl>
      <w:tblPr>
        <w:tblStyle w:val="TableGrid"/>
        <w:tblW w:w="0" w:type="auto"/>
        <w:tblLook w:val="04A0" w:firstRow="1" w:lastRow="0" w:firstColumn="1" w:lastColumn="0" w:noHBand="0" w:noVBand="1"/>
      </w:tblPr>
      <w:tblGrid>
        <w:gridCol w:w="1555"/>
        <w:gridCol w:w="3118"/>
        <w:gridCol w:w="8505"/>
        <w:gridCol w:w="2210"/>
      </w:tblGrid>
      <w:tr w:rsidR="00B61C6A" w:rsidRPr="0089724F" w:rsidTr="00AB46E0">
        <w:tc>
          <w:tcPr>
            <w:tcW w:w="1555" w:type="dxa"/>
            <w:shd w:val="clear" w:color="auto" w:fill="F7CAAC" w:themeFill="accent2" w:themeFillTint="66"/>
          </w:tcPr>
          <w:p w:rsidR="00B61C6A" w:rsidRPr="004423A3" w:rsidRDefault="00B61C6A" w:rsidP="00AB46E0">
            <w:pPr>
              <w:jc w:val="center"/>
              <w:rPr>
                <w:rFonts w:ascii="Arial" w:hAnsi="Arial" w:cs="Arial"/>
                <w:sz w:val="24"/>
              </w:rPr>
            </w:pPr>
            <w:r w:rsidRPr="004423A3">
              <w:rPr>
                <w:rFonts w:ascii="Arial" w:hAnsi="Arial" w:cs="Arial"/>
                <w:b/>
                <w:sz w:val="24"/>
              </w:rPr>
              <w:lastRenderedPageBreak/>
              <w:t>Year</w:t>
            </w:r>
          </w:p>
        </w:tc>
        <w:tc>
          <w:tcPr>
            <w:tcW w:w="3118" w:type="dxa"/>
            <w:shd w:val="clear" w:color="auto" w:fill="F7CAAC" w:themeFill="accent2" w:themeFillTint="66"/>
          </w:tcPr>
          <w:p w:rsidR="00B61C6A" w:rsidRPr="004423A3" w:rsidRDefault="00B61C6A" w:rsidP="00AB46E0">
            <w:pPr>
              <w:jc w:val="center"/>
              <w:rPr>
                <w:rFonts w:ascii="Arial" w:hAnsi="Arial" w:cs="Arial"/>
                <w:sz w:val="24"/>
              </w:rPr>
            </w:pPr>
            <w:r w:rsidRPr="004423A3">
              <w:rPr>
                <w:rFonts w:ascii="Arial" w:hAnsi="Arial" w:cs="Arial"/>
                <w:sz w:val="24"/>
              </w:rPr>
              <w:t>Year Aims</w:t>
            </w:r>
          </w:p>
        </w:tc>
        <w:tc>
          <w:tcPr>
            <w:tcW w:w="8505" w:type="dxa"/>
            <w:shd w:val="clear" w:color="auto" w:fill="F7CAAC" w:themeFill="accent2" w:themeFillTint="66"/>
          </w:tcPr>
          <w:p w:rsidR="00B61C6A" w:rsidRPr="004423A3" w:rsidRDefault="00B61C6A" w:rsidP="00AB46E0">
            <w:pPr>
              <w:jc w:val="center"/>
              <w:rPr>
                <w:rFonts w:ascii="Arial" w:hAnsi="Arial" w:cs="Arial"/>
                <w:sz w:val="24"/>
              </w:rPr>
            </w:pPr>
            <w:r w:rsidRPr="004423A3">
              <w:rPr>
                <w:rFonts w:ascii="Arial" w:hAnsi="Arial" w:cs="Arial"/>
                <w:sz w:val="24"/>
              </w:rPr>
              <w:t>Experiences, Activities &amp; Measurable Outcomes</w:t>
            </w:r>
          </w:p>
        </w:tc>
        <w:tc>
          <w:tcPr>
            <w:tcW w:w="2210" w:type="dxa"/>
            <w:shd w:val="clear" w:color="auto" w:fill="F7CAAC" w:themeFill="accent2" w:themeFillTint="66"/>
          </w:tcPr>
          <w:p w:rsidR="00B61C6A" w:rsidRPr="004423A3" w:rsidRDefault="0085542E" w:rsidP="00AB46E0">
            <w:pPr>
              <w:jc w:val="center"/>
              <w:rPr>
                <w:rFonts w:ascii="Arial" w:hAnsi="Arial" w:cs="Arial"/>
                <w:sz w:val="24"/>
              </w:rPr>
            </w:pPr>
            <w:r>
              <w:rPr>
                <w:rFonts w:ascii="Arial" w:hAnsi="Arial" w:cs="Arial"/>
                <w:sz w:val="24"/>
              </w:rPr>
              <w:t>Benc</w:t>
            </w:r>
            <w:r w:rsidR="00F54A4A">
              <w:rPr>
                <w:rFonts w:ascii="Arial" w:hAnsi="Arial" w:cs="Arial"/>
                <w:sz w:val="24"/>
              </w:rPr>
              <w:t>h</w:t>
            </w:r>
            <w:r>
              <w:rPr>
                <w:rFonts w:ascii="Arial" w:hAnsi="Arial" w:cs="Arial"/>
                <w:sz w:val="24"/>
              </w:rPr>
              <w:t>marks</w:t>
            </w:r>
          </w:p>
        </w:tc>
      </w:tr>
      <w:tr w:rsidR="0089724F" w:rsidRPr="0089724F" w:rsidTr="0085542E">
        <w:tc>
          <w:tcPr>
            <w:tcW w:w="1555" w:type="dxa"/>
            <w:vMerge w:val="restart"/>
            <w:shd w:val="clear" w:color="auto" w:fill="00B0F0"/>
          </w:tcPr>
          <w:p w:rsidR="0089724F" w:rsidRDefault="0089724F" w:rsidP="0089724F">
            <w:pPr>
              <w:jc w:val="center"/>
              <w:rPr>
                <w:rFonts w:ascii="Arial" w:hAnsi="Arial" w:cs="Arial"/>
                <w:b/>
              </w:rPr>
            </w:pPr>
          </w:p>
          <w:p w:rsidR="0089724F" w:rsidRDefault="0089724F" w:rsidP="0089724F">
            <w:pPr>
              <w:jc w:val="center"/>
              <w:rPr>
                <w:rFonts w:ascii="Arial" w:hAnsi="Arial" w:cs="Arial"/>
                <w:b/>
              </w:rPr>
            </w:pPr>
          </w:p>
          <w:p w:rsidR="0089724F" w:rsidRDefault="0089724F" w:rsidP="0089724F">
            <w:pPr>
              <w:jc w:val="center"/>
              <w:rPr>
                <w:rFonts w:ascii="Arial" w:hAnsi="Arial" w:cs="Arial"/>
                <w:b/>
              </w:rPr>
            </w:pPr>
          </w:p>
          <w:p w:rsidR="0089724F" w:rsidRPr="0089724F" w:rsidRDefault="0089724F" w:rsidP="0089724F">
            <w:pPr>
              <w:jc w:val="center"/>
              <w:rPr>
                <w:rFonts w:ascii="Arial" w:hAnsi="Arial" w:cs="Arial"/>
                <w:b/>
              </w:rPr>
            </w:pPr>
            <w:r w:rsidRPr="0089724F">
              <w:rPr>
                <w:rFonts w:ascii="Arial" w:hAnsi="Arial" w:cs="Arial"/>
                <w:b/>
                <w:sz w:val="56"/>
              </w:rPr>
              <w:t>10</w:t>
            </w:r>
          </w:p>
        </w:tc>
        <w:tc>
          <w:tcPr>
            <w:tcW w:w="3118" w:type="dxa"/>
            <w:vMerge w:val="restart"/>
            <w:shd w:val="clear" w:color="auto" w:fill="00B0F0"/>
          </w:tcPr>
          <w:p w:rsidR="0089724F" w:rsidRPr="004423A3" w:rsidRDefault="0089724F" w:rsidP="00B61C6A">
            <w:pPr>
              <w:rPr>
                <w:rFonts w:ascii="Arial" w:hAnsi="Arial" w:cs="Arial"/>
              </w:rPr>
            </w:pPr>
            <w:r w:rsidRPr="004423A3">
              <w:rPr>
                <w:rFonts w:ascii="Arial" w:hAnsi="Arial" w:cs="Arial"/>
              </w:rPr>
              <w:t xml:space="preserve">Students refine their career aspirations and recognise next the steps. Students </w:t>
            </w:r>
            <w:r w:rsidRPr="004423A3">
              <w:rPr>
                <w:rFonts w:ascii="Arial" w:hAnsi="Arial" w:cs="Arial"/>
                <w:highlight w:val="yellow"/>
              </w:rPr>
              <w:t>develop</w:t>
            </w:r>
            <w:r w:rsidRPr="004423A3">
              <w:rPr>
                <w:rFonts w:ascii="Arial" w:hAnsi="Arial" w:cs="Arial"/>
              </w:rPr>
              <w:t xml:space="preserve"> their knowledge and employability skills </w:t>
            </w: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START – Careers online platform</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2,3</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Careers programme – STEPS (Preferences linked).</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2,3</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Careers assemblies – in house and guest speakers (Various topics – each term)</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2,3,5</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Careers assemblies – careers in the curriculum (Subject departments)</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4</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 xml:space="preserve">CEIAG – 1:1 with Careers Advisor </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2,3,8</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Job application/personal statement and mock interviews</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2,3,5</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9B0A48" w:rsidP="00AB46E0">
            <w:pPr>
              <w:rPr>
                <w:rFonts w:ascii="Arial" w:hAnsi="Arial" w:cs="Arial"/>
              </w:rPr>
            </w:pPr>
            <w:r>
              <w:rPr>
                <w:rFonts w:ascii="Arial" w:hAnsi="Arial" w:cs="Arial"/>
              </w:rPr>
              <w:t>Work experience</w:t>
            </w:r>
            <w:r w:rsidR="0089724F" w:rsidRPr="004423A3">
              <w:rPr>
                <w:rFonts w:ascii="Arial" w:hAnsi="Arial" w:cs="Arial"/>
              </w:rPr>
              <w:t xml:space="preserve"> (START linked)</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6</w:t>
            </w:r>
          </w:p>
        </w:tc>
      </w:tr>
      <w:tr w:rsidR="009B0A48" w:rsidRPr="0089724F" w:rsidTr="0085542E">
        <w:tc>
          <w:tcPr>
            <w:tcW w:w="1555" w:type="dxa"/>
            <w:vMerge/>
            <w:shd w:val="clear" w:color="auto" w:fill="00B0F0"/>
          </w:tcPr>
          <w:p w:rsidR="009B0A48" w:rsidRPr="0089724F" w:rsidRDefault="009B0A48" w:rsidP="00AB46E0">
            <w:pPr>
              <w:rPr>
                <w:rFonts w:ascii="Arial" w:hAnsi="Arial" w:cs="Arial"/>
                <w:b/>
              </w:rPr>
            </w:pPr>
          </w:p>
        </w:tc>
        <w:tc>
          <w:tcPr>
            <w:tcW w:w="3118" w:type="dxa"/>
            <w:vMerge/>
            <w:shd w:val="clear" w:color="auto" w:fill="00B0F0"/>
          </w:tcPr>
          <w:p w:rsidR="009B0A48" w:rsidRPr="004423A3" w:rsidRDefault="009B0A48" w:rsidP="00AB46E0">
            <w:pPr>
              <w:rPr>
                <w:rFonts w:ascii="Arial" w:hAnsi="Arial" w:cs="Arial"/>
              </w:rPr>
            </w:pPr>
          </w:p>
        </w:tc>
        <w:tc>
          <w:tcPr>
            <w:tcW w:w="8505" w:type="dxa"/>
            <w:shd w:val="clear" w:color="auto" w:fill="00B0F0"/>
          </w:tcPr>
          <w:p w:rsidR="009B0A48" w:rsidRPr="004423A3" w:rsidRDefault="009B0A48" w:rsidP="00AB46E0">
            <w:pPr>
              <w:rPr>
                <w:rFonts w:ascii="Arial" w:hAnsi="Arial" w:cs="Arial"/>
              </w:rPr>
            </w:pPr>
            <w:r>
              <w:rPr>
                <w:rFonts w:ascii="Arial" w:hAnsi="Arial" w:cs="Arial"/>
              </w:rPr>
              <w:t>Extended/Supported work experience</w:t>
            </w:r>
          </w:p>
        </w:tc>
        <w:tc>
          <w:tcPr>
            <w:tcW w:w="2210" w:type="dxa"/>
            <w:shd w:val="clear" w:color="auto" w:fill="auto"/>
          </w:tcPr>
          <w:p w:rsidR="009B0A48" w:rsidRPr="0089724F" w:rsidRDefault="00F54A4A" w:rsidP="00F54A4A">
            <w:pPr>
              <w:jc w:val="center"/>
              <w:rPr>
                <w:rFonts w:ascii="Arial" w:hAnsi="Arial" w:cs="Arial"/>
              </w:rPr>
            </w:pPr>
            <w:r>
              <w:rPr>
                <w:rFonts w:ascii="Arial" w:hAnsi="Arial" w:cs="Arial"/>
              </w:rPr>
              <w:t>6</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 xml:space="preserve">College and University visits </w:t>
            </w:r>
            <w:r w:rsidR="00F54A4A">
              <w:rPr>
                <w:rFonts w:ascii="Arial" w:hAnsi="Arial" w:cs="Arial"/>
              </w:rPr>
              <w:t>(virtual/in person)</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3,7</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Internal/Externa</w:t>
            </w:r>
            <w:r w:rsidR="0085542E">
              <w:rPr>
                <w:rFonts w:ascii="Arial" w:hAnsi="Arial" w:cs="Arial"/>
              </w:rPr>
              <w:t>l programmes and experiences TBA</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2,3,5,6</w:t>
            </w:r>
          </w:p>
        </w:tc>
      </w:tr>
      <w:tr w:rsidR="009B0A48" w:rsidRPr="0089724F" w:rsidTr="0085542E">
        <w:tc>
          <w:tcPr>
            <w:tcW w:w="1555" w:type="dxa"/>
            <w:vMerge/>
            <w:shd w:val="clear" w:color="auto" w:fill="00B0F0"/>
          </w:tcPr>
          <w:p w:rsidR="009B0A48" w:rsidRPr="0089724F" w:rsidRDefault="009B0A48" w:rsidP="00AB46E0">
            <w:pPr>
              <w:rPr>
                <w:rFonts w:ascii="Arial" w:hAnsi="Arial" w:cs="Arial"/>
                <w:b/>
              </w:rPr>
            </w:pPr>
          </w:p>
        </w:tc>
        <w:tc>
          <w:tcPr>
            <w:tcW w:w="3118" w:type="dxa"/>
            <w:vMerge/>
            <w:shd w:val="clear" w:color="auto" w:fill="00B0F0"/>
          </w:tcPr>
          <w:p w:rsidR="009B0A48" w:rsidRPr="004423A3" w:rsidRDefault="009B0A48" w:rsidP="00AB46E0">
            <w:pPr>
              <w:rPr>
                <w:rFonts w:ascii="Arial" w:hAnsi="Arial" w:cs="Arial"/>
              </w:rPr>
            </w:pPr>
          </w:p>
        </w:tc>
        <w:tc>
          <w:tcPr>
            <w:tcW w:w="8505" w:type="dxa"/>
            <w:shd w:val="clear" w:color="auto" w:fill="00B0F0"/>
          </w:tcPr>
          <w:p w:rsidR="009B0A48" w:rsidRPr="004423A3" w:rsidRDefault="009B0A48" w:rsidP="00AB46E0">
            <w:pPr>
              <w:rPr>
                <w:rFonts w:ascii="Arial" w:hAnsi="Arial" w:cs="Arial"/>
              </w:rPr>
            </w:pPr>
            <w:r>
              <w:rPr>
                <w:rFonts w:ascii="Arial" w:hAnsi="Arial" w:cs="Arial"/>
              </w:rPr>
              <w:t>Learn with Us – University of Southampton</w:t>
            </w:r>
          </w:p>
        </w:tc>
        <w:tc>
          <w:tcPr>
            <w:tcW w:w="2210" w:type="dxa"/>
            <w:shd w:val="clear" w:color="auto" w:fill="auto"/>
          </w:tcPr>
          <w:p w:rsidR="009B0A48" w:rsidRPr="0089724F" w:rsidRDefault="00F54A4A" w:rsidP="00F54A4A">
            <w:pPr>
              <w:jc w:val="center"/>
              <w:rPr>
                <w:rFonts w:ascii="Arial" w:hAnsi="Arial" w:cs="Arial"/>
              </w:rPr>
            </w:pPr>
            <w:r>
              <w:rPr>
                <w:rFonts w:ascii="Arial" w:hAnsi="Arial" w:cs="Arial"/>
              </w:rPr>
              <w:t>3,5,6,7</w:t>
            </w:r>
          </w:p>
        </w:tc>
      </w:tr>
      <w:tr w:rsidR="0089724F" w:rsidRPr="0089724F" w:rsidTr="0085542E">
        <w:tc>
          <w:tcPr>
            <w:tcW w:w="1555" w:type="dxa"/>
            <w:vMerge/>
            <w:shd w:val="clear" w:color="auto" w:fill="00B0F0"/>
          </w:tcPr>
          <w:p w:rsidR="0089724F" w:rsidRPr="0089724F" w:rsidRDefault="0089724F" w:rsidP="00AB46E0">
            <w:pPr>
              <w:rPr>
                <w:rFonts w:ascii="Arial" w:hAnsi="Arial" w:cs="Arial"/>
                <w:b/>
              </w:rPr>
            </w:pPr>
          </w:p>
        </w:tc>
        <w:tc>
          <w:tcPr>
            <w:tcW w:w="3118" w:type="dxa"/>
            <w:vMerge/>
            <w:shd w:val="clear" w:color="auto" w:fill="00B0F0"/>
          </w:tcPr>
          <w:p w:rsidR="0089724F" w:rsidRPr="004423A3" w:rsidRDefault="0089724F" w:rsidP="00AB46E0">
            <w:pPr>
              <w:rPr>
                <w:rFonts w:ascii="Arial" w:hAnsi="Arial" w:cs="Arial"/>
              </w:rPr>
            </w:pPr>
          </w:p>
        </w:tc>
        <w:tc>
          <w:tcPr>
            <w:tcW w:w="8505" w:type="dxa"/>
            <w:shd w:val="clear" w:color="auto" w:fill="00B0F0"/>
          </w:tcPr>
          <w:p w:rsidR="0089724F" w:rsidRPr="004423A3" w:rsidRDefault="0089724F" w:rsidP="00AB46E0">
            <w:pPr>
              <w:rPr>
                <w:rFonts w:ascii="Arial" w:hAnsi="Arial" w:cs="Arial"/>
              </w:rPr>
            </w:pPr>
            <w:r w:rsidRPr="004423A3">
              <w:rPr>
                <w:rFonts w:ascii="Arial" w:hAnsi="Arial" w:cs="Arial"/>
              </w:rPr>
              <w:t>Your Future – Interview preparation &amp; employer interviews</w:t>
            </w:r>
          </w:p>
        </w:tc>
        <w:tc>
          <w:tcPr>
            <w:tcW w:w="2210" w:type="dxa"/>
            <w:shd w:val="clear" w:color="auto" w:fill="auto"/>
          </w:tcPr>
          <w:p w:rsidR="0089724F" w:rsidRPr="0089724F" w:rsidRDefault="00F54A4A" w:rsidP="00F54A4A">
            <w:pPr>
              <w:jc w:val="center"/>
              <w:rPr>
                <w:rFonts w:ascii="Arial" w:hAnsi="Arial" w:cs="Arial"/>
              </w:rPr>
            </w:pPr>
            <w:r>
              <w:rPr>
                <w:rFonts w:ascii="Arial" w:hAnsi="Arial" w:cs="Arial"/>
              </w:rPr>
              <w:t>3,5</w:t>
            </w:r>
          </w:p>
        </w:tc>
      </w:tr>
    </w:tbl>
    <w:p w:rsidR="00B61C6A" w:rsidRPr="0089724F" w:rsidRDefault="00B61C6A">
      <w:pPr>
        <w:rPr>
          <w:rFonts w:ascii="Arial" w:hAnsi="Arial" w:cs="Arial"/>
        </w:rPr>
      </w:pPr>
    </w:p>
    <w:p w:rsidR="0089724F" w:rsidRPr="0089724F" w:rsidRDefault="0089724F">
      <w:pPr>
        <w:rPr>
          <w:rFonts w:ascii="Arial" w:hAnsi="Arial" w:cs="Arial"/>
        </w:rPr>
      </w:pPr>
    </w:p>
    <w:tbl>
      <w:tblPr>
        <w:tblStyle w:val="TableGrid"/>
        <w:tblW w:w="0" w:type="auto"/>
        <w:tblLook w:val="04A0" w:firstRow="1" w:lastRow="0" w:firstColumn="1" w:lastColumn="0" w:noHBand="0" w:noVBand="1"/>
      </w:tblPr>
      <w:tblGrid>
        <w:gridCol w:w="1555"/>
        <w:gridCol w:w="3118"/>
        <w:gridCol w:w="8505"/>
        <w:gridCol w:w="2210"/>
      </w:tblGrid>
      <w:tr w:rsidR="0089724F" w:rsidRPr="0089724F" w:rsidTr="00AB46E0">
        <w:tc>
          <w:tcPr>
            <w:tcW w:w="1555" w:type="dxa"/>
            <w:shd w:val="clear" w:color="auto" w:fill="F7CAAC" w:themeFill="accent2" w:themeFillTint="66"/>
          </w:tcPr>
          <w:p w:rsidR="0089724F" w:rsidRPr="004423A3" w:rsidRDefault="0089724F" w:rsidP="00AB46E0">
            <w:pPr>
              <w:jc w:val="center"/>
              <w:rPr>
                <w:rFonts w:ascii="Arial" w:hAnsi="Arial" w:cs="Arial"/>
                <w:sz w:val="24"/>
              </w:rPr>
            </w:pPr>
            <w:r w:rsidRPr="004423A3">
              <w:rPr>
                <w:rFonts w:ascii="Arial" w:hAnsi="Arial" w:cs="Arial"/>
                <w:b/>
                <w:sz w:val="24"/>
              </w:rPr>
              <w:t>Year</w:t>
            </w:r>
          </w:p>
        </w:tc>
        <w:tc>
          <w:tcPr>
            <w:tcW w:w="3118" w:type="dxa"/>
            <w:shd w:val="clear" w:color="auto" w:fill="F7CAAC" w:themeFill="accent2" w:themeFillTint="66"/>
          </w:tcPr>
          <w:p w:rsidR="0089724F" w:rsidRPr="004423A3" w:rsidRDefault="0089724F" w:rsidP="00AB46E0">
            <w:pPr>
              <w:jc w:val="center"/>
              <w:rPr>
                <w:rFonts w:ascii="Arial" w:hAnsi="Arial" w:cs="Arial"/>
                <w:sz w:val="24"/>
              </w:rPr>
            </w:pPr>
            <w:r w:rsidRPr="004423A3">
              <w:rPr>
                <w:rFonts w:ascii="Arial" w:hAnsi="Arial" w:cs="Arial"/>
                <w:sz w:val="24"/>
              </w:rPr>
              <w:t>Year Aims</w:t>
            </w:r>
          </w:p>
        </w:tc>
        <w:tc>
          <w:tcPr>
            <w:tcW w:w="8505" w:type="dxa"/>
            <w:shd w:val="clear" w:color="auto" w:fill="F7CAAC" w:themeFill="accent2" w:themeFillTint="66"/>
          </w:tcPr>
          <w:p w:rsidR="0089724F" w:rsidRPr="004423A3" w:rsidRDefault="0089724F" w:rsidP="00AB46E0">
            <w:pPr>
              <w:jc w:val="center"/>
              <w:rPr>
                <w:rFonts w:ascii="Arial" w:hAnsi="Arial" w:cs="Arial"/>
                <w:sz w:val="24"/>
              </w:rPr>
            </w:pPr>
            <w:r w:rsidRPr="004423A3">
              <w:rPr>
                <w:rFonts w:ascii="Arial" w:hAnsi="Arial" w:cs="Arial"/>
                <w:sz w:val="24"/>
              </w:rPr>
              <w:t>Experiences, Activities &amp; Measurable Outcomes</w:t>
            </w:r>
          </w:p>
        </w:tc>
        <w:tc>
          <w:tcPr>
            <w:tcW w:w="2210" w:type="dxa"/>
            <w:shd w:val="clear" w:color="auto" w:fill="F7CAAC" w:themeFill="accent2" w:themeFillTint="66"/>
          </w:tcPr>
          <w:p w:rsidR="0089724F" w:rsidRPr="004423A3" w:rsidRDefault="0085542E" w:rsidP="00AB46E0">
            <w:pPr>
              <w:jc w:val="center"/>
              <w:rPr>
                <w:rFonts w:ascii="Arial" w:hAnsi="Arial" w:cs="Arial"/>
                <w:sz w:val="24"/>
              </w:rPr>
            </w:pPr>
            <w:r>
              <w:rPr>
                <w:rFonts w:ascii="Arial" w:hAnsi="Arial" w:cs="Arial"/>
                <w:sz w:val="24"/>
              </w:rPr>
              <w:t>Benchmarks</w:t>
            </w:r>
          </w:p>
        </w:tc>
      </w:tr>
      <w:tr w:rsidR="00855D23" w:rsidRPr="0089724F" w:rsidTr="0085542E">
        <w:tc>
          <w:tcPr>
            <w:tcW w:w="1555" w:type="dxa"/>
            <w:vMerge w:val="restart"/>
            <w:shd w:val="clear" w:color="auto" w:fill="92D050"/>
          </w:tcPr>
          <w:p w:rsidR="00855D23" w:rsidRDefault="00855D23" w:rsidP="0089724F">
            <w:pPr>
              <w:rPr>
                <w:rFonts w:ascii="Arial" w:hAnsi="Arial" w:cs="Arial"/>
                <w:b/>
                <w:sz w:val="56"/>
              </w:rPr>
            </w:pPr>
          </w:p>
          <w:p w:rsidR="00855D23" w:rsidRPr="0089724F" w:rsidRDefault="00855D23" w:rsidP="0089724F">
            <w:pPr>
              <w:jc w:val="center"/>
              <w:rPr>
                <w:rFonts w:ascii="Arial" w:hAnsi="Arial" w:cs="Arial"/>
                <w:b/>
              </w:rPr>
            </w:pPr>
            <w:r w:rsidRPr="0089724F">
              <w:rPr>
                <w:rFonts w:ascii="Arial" w:hAnsi="Arial" w:cs="Arial"/>
                <w:b/>
                <w:sz w:val="56"/>
              </w:rPr>
              <w:t>11</w:t>
            </w:r>
          </w:p>
        </w:tc>
        <w:tc>
          <w:tcPr>
            <w:tcW w:w="3118" w:type="dxa"/>
            <w:vMerge w:val="restart"/>
            <w:shd w:val="clear" w:color="auto" w:fill="92D050"/>
          </w:tcPr>
          <w:p w:rsidR="00855D23" w:rsidRPr="009B0A48" w:rsidRDefault="00855D23" w:rsidP="00AB46E0">
            <w:pPr>
              <w:rPr>
                <w:rFonts w:ascii="Arial" w:hAnsi="Arial" w:cs="Arial"/>
                <w:szCs w:val="24"/>
              </w:rPr>
            </w:pPr>
            <w:r w:rsidRPr="009B0A48">
              <w:rPr>
                <w:rFonts w:ascii="Arial" w:hAnsi="Arial" w:cs="Arial"/>
                <w:szCs w:val="24"/>
              </w:rPr>
              <w:t xml:space="preserve">Students make smart </w:t>
            </w:r>
            <w:r w:rsidRPr="009B0A48">
              <w:rPr>
                <w:rFonts w:ascii="Arial" w:hAnsi="Arial" w:cs="Arial"/>
                <w:szCs w:val="24"/>
                <w:highlight w:val="yellow"/>
              </w:rPr>
              <w:t>choices</w:t>
            </w:r>
            <w:r w:rsidRPr="009B0A48">
              <w:rPr>
                <w:rFonts w:ascii="Arial" w:hAnsi="Arial" w:cs="Arial"/>
                <w:szCs w:val="24"/>
              </w:rPr>
              <w:t xml:space="preserve"> about their post 16 career pathways making plans for colleges, training providers and apprenticeships  </w:t>
            </w:r>
          </w:p>
        </w:tc>
        <w:tc>
          <w:tcPr>
            <w:tcW w:w="8505" w:type="dxa"/>
            <w:shd w:val="clear" w:color="auto" w:fill="92D050"/>
          </w:tcPr>
          <w:p w:rsidR="00855D23" w:rsidRPr="009B0A48" w:rsidRDefault="00855D23" w:rsidP="00AB46E0">
            <w:pPr>
              <w:rPr>
                <w:rFonts w:ascii="Arial" w:hAnsi="Arial" w:cs="Arial"/>
                <w:szCs w:val="24"/>
              </w:rPr>
            </w:pPr>
            <w:r w:rsidRPr="009B0A48">
              <w:rPr>
                <w:rFonts w:ascii="Arial" w:hAnsi="Arial" w:cs="Arial"/>
                <w:szCs w:val="24"/>
              </w:rPr>
              <w:t>START – Careers online platform</w:t>
            </w:r>
          </w:p>
        </w:tc>
        <w:tc>
          <w:tcPr>
            <w:tcW w:w="2210" w:type="dxa"/>
            <w:shd w:val="clear" w:color="auto" w:fill="auto"/>
          </w:tcPr>
          <w:p w:rsidR="00855D23" w:rsidRPr="0089724F" w:rsidRDefault="00F54A4A" w:rsidP="00F54A4A">
            <w:pPr>
              <w:jc w:val="center"/>
              <w:rPr>
                <w:rFonts w:ascii="Arial" w:hAnsi="Arial" w:cs="Arial"/>
              </w:rPr>
            </w:pPr>
            <w:r>
              <w:rPr>
                <w:rFonts w:ascii="Arial" w:hAnsi="Arial" w:cs="Arial"/>
              </w:rPr>
              <w:t>1,2,3</w:t>
            </w:r>
          </w:p>
        </w:tc>
      </w:tr>
      <w:tr w:rsidR="00855D23" w:rsidRPr="0089724F" w:rsidTr="0085542E">
        <w:tc>
          <w:tcPr>
            <w:tcW w:w="1555" w:type="dxa"/>
            <w:vMerge/>
            <w:shd w:val="clear" w:color="auto" w:fill="92D050"/>
          </w:tcPr>
          <w:p w:rsidR="00855D23" w:rsidRPr="0089724F" w:rsidRDefault="00855D23" w:rsidP="00AB46E0">
            <w:pPr>
              <w:rPr>
                <w:rFonts w:ascii="Arial" w:hAnsi="Arial" w:cs="Arial"/>
                <w:b/>
              </w:rPr>
            </w:pPr>
          </w:p>
        </w:tc>
        <w:tc>
          <w:tcPr>
            <w:tcW w:w="3118" w:type="dxa"/>
            <w:vMerge/>
            <w:shd w:val="clear" w:color="auto" w:fill="92D050"/>
          </w:tcPr>
          <w:p w:rsidR="00855D23" w:rsidRPr="009B0A48" w:rsidRDefault="00855D23" w:rsidP="00AB46E0">
            <w:pPr>
              <w:rPr>
                <w:rFonts w:ascii="Arial" w:hAnsi="Arial" w:cs="Arial"/>
                <w:szCs w:val="24"/>
              </w:rPr>
            </w:pPr>
          </w:p>
        </w:tc>
        <w:tc>
          <w:tcPr>
            <w:tcW w:w="8505" w:type="dxa"/>
            <w:shd w:val="clear" w:color="auto" w:fill="92D050"/>
          </w:tcPr>
          <w:p w:rsidR="00855D23" w:rsidRPr="009B0A48" w:rsidRDefault="00855D23" w:rsidP="00AB46E0">
            <w:pPr>
              <w:rPr>
                <w:rFonts w:ascii="Arial" w:hAnsi="Arial" w:cs="Arial"/>
                <w:szCs w:val="24"/>
              </w:rPr>
            </w:pPr>
            <w:r w:rsidRPr="009B0A48">
              <w:rPr>
                <w:rFonts w:ascii="Arial" w:hAnsi="Arial" w:cs="Arial"/>
                <w:szCs w:val="24"/>
              </w:rPr>
              <w:t>Careers programme – STEPS (Preferences linked).</w:t>
            </w:r>
          </w:p>
        </w:tc>
        <w:tc>
          <w:tcPr>
            <w:tcW w:w="2210" w:type="dxa"/>
            <w:shd w:val="clear" w:color="auto" w:fill="auto"/>
          </w:tcPr>
          <w:p w:rsidR="00855D23" w:rsidRPr="0089724F" w:rsidRDefault="00F54A4A" w:rsidP="00F54A4A">
            <w:pPr>
              <w:jc w:val="center"/>
              <w:rPr>
                <w:rFonts w:ascii="Arial" w:hAnsi="Arial" w:cs="Arial"/>
              </w:rPr>
            </w:pPr>
            <w:r>
              <w:rPr>
                <w:rFonts w:ascii="Arial" w:hAnsi="Arial" w:cs="Arial"/>
              </w:rPr>
              <w:t>1,2,3</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Careers assemblies – in house and guest speakers (Various topics – each term)</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1,2,3,5</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Careers assemblies – careers in the curriculum (Subject departments)</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1,4</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 xml:space="preserve">CEIAG – 1:1 with Careers Advisor </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1,2,3,8</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 xml:space="preserve">College and University visits </w:t>
            </w:r>
            <w:r>
              <w:rPr>
                <w:rFonts w:ascii="Arial" w:hAnsi="Arial" w:cs="Arial"/>
              </w:rPr>
              <w:t>(virtual/in person)</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1,3,7</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Internal/External programmes and experiences TBA</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1,2,3,5,6</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Steps into Hospitality Programme</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1,3,5,6</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sidRPr="009B0A48">
              <w:rPr>
                <w:rFonts w:ascii="Arial" w:hAnsi="Arial" w:cs="Arial"/>
                <w:szCs w:val="24"/>
              </w:rPr>
              <w:t>Your Future – Interview preparation &amp; employer interviews</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1,3,5</w:t>
            </w:r>
          </w:p>
        </w:tc>
      </w:tr>
      <w:tr w:rsidR="00F54A4A" w:rsidRPr="0089724F" w:rsidTr="0085542E">
        <w:tc>
          <w:tcPr>
            <w:tcW w:w="1555" w:type="dxa"/>
            <w:vMerge/>
            <w:shd w:val="clear" w:color="auto" w:fill="92D050"/>
          </w:tcPr>
          <w:p w:rsidR="00F54A4A" w:rsidRPr="0089724F" w:rsidRDefault="00F54A4A" w:rsidP="00F54A4A">
            <w:pPr>
              <w:rPr>
                <w:rFonts w:ascii="Arial" w:hAnsi="Arial" w:cs="Arial"/>
                <w:b/>
              </w:rPr>
            </w:pPr>
          </w:p>
        </w:tc>
        <w:tc>
          <w:tcPr>
            <w:tcW w:w="3118" w:type="dxa"/>
            <w:vMerge/>
            <w:shd w:val="clear" w:color="auto" w:fill="92D050"/>
          </w:tcPr>
          <w:p w:rsidR="00F54A4A" w:rsidRPr="009B0A48" w:rsidRDefault="00F54A4A" w:rsidP="00F54A4A">
            <w:pPr>
              <w:rPr>
                <w:rFonts w:ascii="Arial" w:hAnsi="Arial" w:cs="Arial"/>
                <w:szCs w:val="24"/>
              </w:rPr>
            </w:pPr>
          </w:p>
        </w:tc>
        <w:tc>
          <w:tcPr>
            <w:tcW w:w="8505" w:type="dxa"/>
            <w:shd w:val="clear" w:color="auto" w:fill="92D050"/>
          </w:tcPr>
          <w:p w:rsidR="00F54A4A" w:rsidRPr="009B0A48" w:rsidRDefault="00F54A4A" w:rsidP="00F54A4A">
            <w:pPr>
              <w:rPr>
                <w:rFonts w:ascii="Arial" w:hAnsi="Arial" w:cs="Arial"/>
                <w:szCs w:val="24"/>
              </w:rPr>
            </w:pPr>
            <w:r>
              <w:rPr>
                <w:rFonts w:ascii="Arial" w:hAnsi="Arial" w:cs="Arial"/>
                <w:szCs w:val="24"/>
              </w:rPr>
              <w:t>City Ambitions – Transition Project</w:t>
            </w:r>
          </w:p>
        </w:tc>
        <w:tc>
          <w:tcPr>
            <w:tcW w:w="2210" w:type="dxa"/>
            <w:shd w:val="clear" w:color="auto" w:fill="auto"/>
          </w:tcPr>
          <w:p w:rsidR="00F54A4A" w:rsidRPr="0089724F" w:rsidRDefault="00F54A4A" w:rsidP="00F54A4A">
            <w:pPr>
              <w:jc w:val="center"/>
              <w:rPr>
                <w:rFonts w:ascii="Arial" w:hAnsi="Arial" w:cs="Arial"/>
              </w:rPr>
            </w:pPr>
            <w:r>
              <w:rPr>
                <w:rFonts w:ascii="Arial" w:hAnsi="Arial" w:cs="Arial"/>
              </w:rPr>
              <w:t>1,3,8</w:t>
            </w:r>
          </w:p>
        </w:tc>
      </w:tr>
    </w:tbl>
    <w:p w:rsidR="0089724F" w:rsidRDefault="0089724F"/>
    <w:p w:rsidR="005B6E51" w:rsidRDefault="005B6E51">
      <w:bookmarkStart w:id="0" w:name="OLE_LINK1"/>
      <w:r>
        <w:t>This programme aims to provide a variety of experiences designed to develop career education, information, advice and guidance as students move from year 7 to 11. All activities are subject to change based on their feasibility and availability and if you require more information on the current activities please contact the Director of Careers Education on 02380 447820 or</w:t>
      </w:r>
      <w:r w:rsidR="00A31B18">
        <w:t xml:space="preserve"> alternatively</w:t>
      </w:r>
      <w:r>
        <w:t xml:space="preserve"> </w:t>
      </w:r>
      <w:hyperlink r:id="rId12" w:history="1">
        <w:r w:rsidRPr="00631D95">
          <w:rPr>
            <w:rStyle w:val="Hyperlink"/>
          </w:rPr>
          <w:t>Stephen.robinson@chamberlayne.org</w:t>
        </w:r>
      </w:hyperlink>
    </w:p>
    <w:bookmarkEnd w:id="0"/>
    <w:p w:rsidR="005B6E51" w:rsidRDefault="005B6E51">
      <w:r>
        <w:t xml:space="preserve">   </w:t>
      </w:r>
    </w:p>
    <w:sectPr w:rsidR="005B6E51" w:rsidSect="00AF30D2">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463" w:rsidRDefault="00957463" w:rsidP="00AF30D2">
      <w:pPr>
        <w:spacing w:after="0" w:line="240" w:lineRule="auto"/>
      </w:pPr>
      <w:r>
        <w:separator/>
      </w:r>
    </w:p>
  </w:endnote>
  <w:endnote w:type="continuationSeparator" w:id="0">
    <w:p w:rsidR="00957463" w:rsidRDefault="00957463" w:rsidP="00AF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463" w:rsidRDefault="00957463" w:rsidP="00AF30D2">
      <w:pPr>
        <w:spacing w:after="0" w:line="240" w:lineRule="auto"/>
      </w:pPr>
      <w:r>
        <w:separator/>
      </w:r>
    </w:p>
  </w:footnote>
  <w:footnote w:type="continuationSeparator" w:id="0">
    <w:p w:rsidR="00957463" w:rsidRDefault="00957463" w:rsidP="00AF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30D2" w:rsidRDefault="00AF30D2" w:rsidP="00AF30D2">
    <w:pPr>
      <w:pStyle w:val="Header"/>
      <w:jc w:val="center"/>
    </w:pPr>
    <w:r>
      <w:rPr>
        <w:noProof/>
        <w:lang w:eastAsia="en-GB"/>
      </w:rPr>
      <w:drawing>
        <wp:inline distT="0" distB="0" distL="0" distR="0" wp14:anchorId="19AF61F4">
          <wp:extent cx="1091565"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BA5"/>
    <w:multiLevelType w:val="hybridMultilevel"/>
    <w:tmpl w:val="7464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C2901"/>
    <w:multiLevelType w:val="hybridMultilevel"/>
    <w:tmpl w:val="78D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4C61"/>
    <w:multiLevelType w:val="hybridMultilevel"/>
    <w:tmpl w:val="E06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779E5"/>
    <w:multiLevelType w:val="hybridMultilevel"/>
    <w:tmpl w:val="288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D2"/>
    <w:rsid w:val="000E440C"/>
    <w:rsid w:val="001F466F"/>
    <w:rsid w:val="002C6BCC"/>
    <w:rsid w:val="00344088"/>
    <w:rsid w:val="00414223"/>
    <w:rsid w:val="004423A3"/>
    <w:rsid w:val="00455658"/>
    <w:rsid w:val="00491874"/>
    <w:rsid w:val="004C4BFD"/>
    <w:rsid w:val="005A6926"/>
    <w:rsid w:val="005A6F53"/>
    <w:rsid w:val="005B6E51"/>
    <w:rsid w:val="00653BF6"/>
    <w:rsid w:val="007834DE"/>
    <w:rsid w:val="00785C0C"/>
    <w:rsid w:val="007F1B98"/>
    <w:rsid w:val="007F3928"/>
    <w:rsid w:val="0081588C"/>
    <w:rsid w:val="00845626"/>
    <w:rsid w:val="0085542E"/>
    <w:rsid w:val="00855D23"/>
    <w:rsid w:val="008805D1"/>
    <w:rsid w:val="0089724F"/>
    <w:rsid w:val="00902E0B"/>
    <w:rsid w:val="00957463"/>
    <w:rsid w:val="00973B4D"/>
    <w:rsid w:val="009B0A48"/>
    <w:rsid w:val="00A31B18"/>
    <w:rsid w:val="00A43191"/>
    <w:rsid w:val="00AB46E0"/>
    <w:rsid w:val="00AF30D2"/>
    <w:rsid w:val="00B61C6A"/>
    <w:rsid w:val="00E258C9"/>
    <w:rsid w:val="00E640E7"/>
    <w:rsid w:val="00E822F4"/>
    <w:rsid w:val="00E83625"/>
    <w:rsid w:val="00EC1432"/>
    <w:rsid w:val="00F54A4A"/>
    <w:rsid w:val="00FD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96185C-5B8D-4DAA-B312-1CAA8AC8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D2"/>
  </w:style>
  <w:style w:type="paragraph" w:styleId="Footer">
    <w:name w:val="footer"/>
    <w:basedOn w:val="Normal"/>
    <w:link w:val="FooterChar"/>
    <w:uiPriority w:val="99"/>
    <w:unhideWhenUsed/>
    <w:rsid w:val="00AF3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D2"/>
  </w:style>
  <w:style w:type="table" w:styleId="TableGrid">
    <w:name w:val="Table Grid"/>
    <w:basedOn w:val="TableNormal"/>
    <w:uiPriority w:val="39"/>
    <w:rsid w:val="00AF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874"/>
    <w:pPr>
      <w:ind w:left="720"/>
      <w:contextualSpacing/>
    </w:pPr>
  </w:style>
  <w:style w:type="paragraph" w:styleId="BalloonText">
    <w:name w:val="Balloon Text"/>
    <w:basedOn w:val="Normal"/>
    <w:link w:val="BalloonTextChar"/>
    <w:uiPriority w:val="99"/>
    <w:semiHidden/>
    <w:unhideWhenUsed/>
    <w:rsid w:val="00414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23"/>
    <w:rPr>
      <w:rFonts w:ascii="Segoe UI" w:hAnsi="Segoe UI" w:cs="Segoe UI"/>
      <w:sz w:val="18"/>
      <w:szCs w:val="18"/>
    </w:rPr>
  </w:style>
  <w:style w:type="character" w:styleId="Hyperlink">
    <w:name w:val="Hyperlink"/>
    <w:basedOn w:val="DefaultParagraphFont"/>
    <w:uiPriority w:val="99"/>
    <w:unhideWhenUsed/>
    <w:rsid w:val="005B6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Stephen.robinson@chamberlay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473CD0-2437-47CD-AE92-5888F1CDEC2F}" type="doc">
      <dgm:prSet loTypeId="urn:microsoft.com/office/officeart/2005/8/layout/hProcess11" loCatId="process" qsTypeId="urn:microsoft.com/office/officeart/2005/8/quickstyle/simple1" qsCatId="simple" csTypeId="urn:microsoft.com/office/officeart/2005/8/colors/colorful1#2" csCatId="colorful" phldr="1"/>
      <dgm:spPr/>
      <dgm:t>
        <a:bodyPr/>
        <a:lstStyle/>
        <a:p>
          <a:endParaRPr lang="en-GB"/>
        </a:p>
      </dgm:t>
    </dgm:pt>
    <dgm:pt modelId="{FE2D6ACF-93C7-4510-AA80-C6EC3C6B00F0}">
      <dgm:prSet phldrT="[Text]" custT="1"/>
      <dgm:spPr>
        <a:xfrm>
          <a:off x="6851" y="320040"/>
          <a:ext cx="1376323" cy="426720"/>
        </a:xfrm>
      </dgm:spPr>
      <dgm:t>
        <a:bodyPr/>
        <a:lstStyle/>
        <a:p>
          <a:r>
            <a:rPr lang="en-GB" sz="1200">
              <a:latin typeface="Arial" panose="020B0604020202020204" pitchFamily="34" charset="0"/>
              <a:ea typeface="+mn-ea"/>
              <a:cs typeface="Arial" panose="020B0604020202020204" pitchFamily="34" charset="0"/>
            </a:rPr>
            <a:t>Y7 - Be Aware </a:t>
          </a:r>
        </a:p>
      </dgm:t>
    </dgm:pt>
    <dgm:pt modelId="{1CC90844-DE4E-4897-AE97-08EDD6E40C96}" type="parTrans" cxnId="{689950F3-A4CA-42D9-84CA-3AE3F6225F78}">
      <dgm:prSet/>
      <dgm:spPr/>
      <dgm:t>
        <a:bodyPr/>
        <a:lstStyle/>
        <a:p>
          <a:endParaRPr lang="en-GB"/>
        </a:p>
      </dgm:t>
    </dgm:pt>
    <dgm:pt modelId="{CC57436C-0115-433C-AD19-92F1FD91A392}" type="sibTrans" cxnId="{689950F3-A4CA-42D9-84CA-3AE3F6225F78}">
      <dgm:prSet/>
      <dgm:spPr/>
      <dgm:t>
        <a:bodyPr/>
        <a:lstStyle/>
        <a:p>
          <a:endParaRPr lang="en-GB"/>
        </a:p>
      </dgm:t>
    </dgm:pt>
    <dgm:pt modelId="{DA4F44B5-2E23-49B1-9DAA-CEA16CDEF7D3}">
      <dgm:prSet custT="1"/>
      <dgm:spPr>
        <a:xfrm>
          <a:off x="2986520" y="320040"/>
          <a:ext cx="1376323" cy="426720"/>
        </a:xfrm>
      </dgm:spPr>
      <dgm:t>
        <a:bodyPr/>
        <a:lstStyle/>
        <a:p>
          <a:r>
            <a:rPr lang="en-GB" sz="1200">
              <a:latin typeface="Arial" panose="020B0604020202020204" pitchFamily="34" charset="0"/>
              <a:ea typeface="+mn-ea"/>
              <a:cs typeface="Arial" panose="020B0604020202020204" pitchFamily="34" charset="0"/>
            </a:rPr>
            <a:t>Y9 - Prepare</a:t>
          </a:r>
        </a:p>
      </dgm:t>
    </dgm:pt>
    <dgm:pt modelId="{5C74ECB0-72C1-43B6-9117-0E6EA317442D}" type="parTrans" cxnId="{4AEB2750-42F3-45C3-890B-6A2637CCBE23}">
      <dgm:prSet/>
      <dgm:spPr/>
      <dgm:t>
        <a:bodyPr/>
        <a:lstStyle/>
        <a:p>
          <a:endParaRPr lang="en-GB"/>
        </a:p>
      </dgm:t>
    </dgm:pt>
    <dgm:pt modelId="{5267CA6F-9CBD-4453-9B5E-7EE20B00ECFB}" type="sibTrans" cxnId="{4AEB2750-42F3-45C3-890B-6A2637CCBE23}">
      <dgm:prSet/>
      <dgm:spPr/>
      <dgm:t>
        <a:bodyPr/>
        <a:lstStyle/>
        <a:p>
          <a:endParaRPr lang="en-GB"/>
        </a:p>
      </dgm:t>
    </dgm:pt>
    <dgm:pt modelId="{EF6867A3-AEAB-44DB-A760-EEB72FEFEA10}">
      <dgm:prSet custT="1"/>
      <dgm:spPr>
        <a:xfrm>
          <a:off x="4476355" y="320040"/>
          <a:ext cx="1376323" cy="426720"/>
        </a:xfrm>
      </dgm:spPr>
      <dgm:t>
        <a:bodyPr/>
        <a:lstStyle/>
        <a:p>
          <a:r>
            <a:rPr lang="en-GB" sz="1200">
              <a:latin typeface="Arial" panose="020B0604020202020204" pitchFamily="34" charset="0"/>
              <a:ea typeface="+mn-ea"/>
              <a:cs typeface="Arial" panose="020B0604020202020204" pitchFamily="34" charset="0"/>
            </a:rPr>
            <a:t>Y10 - Develop  </a:t>
          </a:r>
        </a:p>
      </dgm:t>
    </dgm:pt>
    <dgm:pt modelId="{0EB80CE4-7797-4E13-AC0B-D3D53612B4EC}" type="parTrans" cxnId="{4A982435-0F69-4D75-8FDB-7234503789DD}">
      <dgm:prSet/>
      <dgm:spPr/>
      <dgm:t>
        <a:bodyPr/>
        <a:lstStyle/>
        <a:p>
          <a:endParaRPr lang="en-GB"/>
        </a:p>
      </dgm:t>
    </dgm:pt>
    <dgm:pt modelId="{DDF3F0E4-9360-42CE-91DB-6F34FA89F0C6}" type="sibTrans" cxnId="{4A982435-0F69-4D75-8FDB-7234503789DD}">
      <dgm:prSet/>
      <dgm:spPr/>
      <dgm:t>
        <a:bodyPr/>
        <a:lstStyle/>
        <a:p>
          <a:endParaRPr lang="en-GB"/>
        </a:p>
      </dgm:t>
    </dgm:pt>
    <dgm:pt modelId="{F2C73FC9-B13D-4D3E-9B46-E859295CB0C7}">
      <dgm:prSet custT="1"/>
      <dgm:spPr>
        <a:xfrm>
          <a:off x="5966190" y="320040"/>
          <a:ext cx="1376323" cy="426720"/>
        </a:xfrm>
      </dgm:spPr>
      <dgm:t>
        <a:bodyPr/>
        <a:lstStyle/>
        <a:p>
          <a:r>
            <a:rPr lang="en-GB" sz="1200">
              <a:latin typeface="Arial" panose="020B0604020202020204" pitchFamily="34" charset="0"/>
              <a:ea typeface="+mn-ea"/>
              <a:cs typeface="Arial" panose="020B0604020202020204" pitchFamily="34" charset="0"/>
            </a:rPr>
            <a:t>Y11 - Choose  </a:t>
          </a:r>
        </a:p>
      </dgm:t>
    </dgm:pt>
    <dgm:pt modelId="{D6BA5250-2D86-43B7-AE4E-D64A1B34E2AC}" type="parTrans" cxnId="{273786F3-A6AF-4602-AFCE-0B0D26046065}">
      <dgm:prSet/>
      <dgm:spPr/>
      <dgm:t>
        <a:bodyPr/>
        <a:lstStyle/>
        <a:p>
          <a:endParaRPr lang="en-GB"/>
        </a:p>
      </dgm:t>
    </dgm:pt>
    <dgm:pt modelId="{3DE34E39-0A9B-41D7-A960-F07CF9915C6B}" type="sibTrans" cxnId="{273786F3-A6AF-4602-AFCE-0B0D26046065}">
      <dgm:prSet/>
      <dgm:spPr/>
      <dgm:t>
        <a:bodyPr/>
        <a:lstStyle/>
        <a:p>
          <a:endParaRPr lang="en-GB"/>
        </a:p>
      </dgm:t>
    </dgm:pt>
    <dgm:pt modelId="{1C7FAA69-C492-481C-8527-61420FDA3CFF}">
      <dgm:prSet custT="1"/>
      <dgm:spPr>
        <a:xfrm>
          <a:off x="1496686" y="320040"/>
          <a:ext cx="1376323" cy="426720"/>
        </a:xfrm>
      </dgm:spPr>
      <dgm:t>
        <a:bodyPr/>
        <a:lstStyle/>
        <a:p>
          <a:r>
            <a:rPr lang="en-GB" sz="1200">
              <a:latin typeface="Arial" panose="020B0604020202020204" pitchFamily="34" charset="0"/>
              <a:ea typeface="+mn-ea"/>
              <a:cs typeface="Arial" panose="020B0604020202020204" pitchFamily="34" charset="0"/>
            </a:rPr>
            <a:t>Y8 - Discover  </a:t>
          </a:r>
        </a:p>
      </dgm:t>
    </dgm:pt>
    <dgm:pt modelId="{E67DC186-48DE-447B-89CD-AFD304A8CAD1}" type="parTrans" cxnId="{21A848D9-38C4-46A7-A64D-E546B5CA7C9F}">
      <dgm:prSet/>
      <dgm:spPr/>
      <dgm:t>
        <a:bodyPr/>
        <a:lstStyle/>
        <a:p>
          <a:endParaRPr lang="en-GB"/>
        </a:p>
      </dgm:t>
    </dgm:pt>
    <dgm:pt modelId="{75BB7AAF-E765-49A0-B2EB-0A58A44DC84F}" type="sibTrans" cxnId="{21A848D9-38C4-46A7-A64D-E546B5CA7C9F}">
      <dgm:prSet/>
      <dgm:spPr/>
      <dgm:t>
        <a:bodyPr/>
        <a:lstStyle/>
        <a:p>
          <a:endParaRPr lang="en-GB"/>
        </a:p>
      </dgm:t>
    </dgm:pt>
    <dgm:pt modelId="{FE220BB0-0AE4-4B15-9BFE-ACAAF0F518C3}" type="pres">
      <dgm:prSet presAssocID="{DF473CD0-2437-47CD-AE92-5888F1CDEC2F}" presName="Name0" presStyleCnt="0">
        <dgm:presLayoutVars>
          <dgm:dir/>
          <dgm:resizeHandles val="exact"/>
        </dgm:presLayoutVars>
      </dgm:prSet>
      <dgm:spPr/>
    </dgm:pt>
    <dgm:pt modelId="{C07BC2D8-5649-4440-8EFB-482FDC66F94D}" type="pres">
      <dgm:prSet presAssocID="{DF473CD0-2437-47CD-AE92-5888F1CDEC2F}" presName="arrow" presStyleLbl="bgShp" presStyleIdx="0" presStyleCnt="1" custLinFactNeighborY="-3571"/>
      <dgm:spPr/>
    </dgm:pt>
    <dgm:pt modelId="{9E74E236-AAE7-424A-B71F-0DB1B5251FE8}" type="pres">
      <dgm:prSet presAssocID="{DF473CD0-2437-47CD-AE92-5888F1CDEC2F}" presName="points" presStyleCnt="0"/>
      <dgm:spPr/>
    </dgm:pt>
    <dgm:pt modelId="{1777A3F6-9634-42B5-9453-E1C3E1538D5A}" type="pres">
      <dgm:prSet presAssocID="{FE2D6ACF-93C7-4510-AA80-C6EC3C6B00F0}" presName="compositeA" presStyleCnt="0"/>
      <dgm:spPr/>
    </dgm:pt>
    <dgm:pt modelId="{C8C24C41-6D5D-4B1A-B4CE-3AF95FA1DE2F}" type="pres">
      <dgm:prSet presAssocID="{FE2D6ACF-93C7-4510-AA80-C6EC3C6B00F0}" presName="textA" presStyleLbl="revTx" presStyleIdx="0" presStyleCnt="5">
        <dgm:presLayoutVars>
          <dgm:bulletEnabled val="1"/>
        </dgm:presLayoutVars>
      </dgm:prSet>
      <dgm:spPr>
        <a:prstGeom prst="roundRect">
          <a:avLst/>
        </a:prstGeom>
      </dgm:spPr>
    </dgm:pt>
    <dgm:pt modelId="{17629CC8-01C8-4A25-A169-0D9CC5F110C6}" type="pres">
      <dgm:prSet presAssocID="{FE2D6ACF-93C7-4510-AA80-C6EC3C6B00F0}" presName="circleA" presStyleLbl="node1" presStyleIdx="0" presStyleCnt="5"/>
      <dgm:spPr/>
    </dgm:pt>
    <dgm:pt modelId="{0EB298A4-E74C-446E-98B4-7253BFFF07DF}" type="pres">
      <dgm:prSet presAssocID="{FE2D6ACF-93C7-4510-AA80-C6EC3C6B00F0}" presName="spaceA" presStyleCnt="0"/>
      <dgm:spPr/>
    </dgm:pt>
    <dgm:pt modelId="{3E738885-9535-4598-AF0D-B92503A08BD0}" type="pres">
      <dgm:prSet presAssocID="{CC57436C-0115-433C-AD19-92F1FD91A392}" presName="space" presStyleCnt="0"/>
      <dgm:spPr/>
    </dgm:pt>
    <dgm:pt modelId="{888927BE-4A9F-424B-A533-A12DD5D14C26}" type="pres">
      <dgm:prSet presAssocID="{1C7FAA69-C492-481C-8527-61420FDA3CFF}" presName="compositeB" presStyleCnt="0"/>
      <dgm:spPr/>
    </dgm:pt>
    <dgm:pt modelId="{E8B3D0B1-2DD2-42A7-A7AB-805BDC1A393A}" type="pres">
      <dgm:prSet presAssocID="{1C7FAA69-C492-481C-8527-61420FDA3CFF}" presName="textB" presStyleLbl="revTx" presStyleIdx="1" presStyleCnt="5">
        <dgm:presLayoutVars>
          <dgm:bulletEnabled val="1"/>
        </dgm:presLayoutVars>
      </dgm:prSet>
      <dgm:spPr>
        <a:prstGeom prst="roundRect">
          <a:avLst/>
        </a:prstGeom>
      </dgm:spPr>
    </dgm:pt>
    <dgm:pt modelId="{5FC95F41-E1F5-4B88-9EA8-E84B73CAABF4}" type="pres">
      <dgm:prSet presAssocID="{1C7FAA69-C492-481C-8527-61420FDA3CFF}" presName="circleB" presStyleLbl="node1" presStyleIdx="1" presStyleCnt="5"/>
      <dgm:spPr/>
    </dgm:pt>
    <dgm:pt modelId="{F7E80143-8C00-44AB-95AE-FF50701B54C8}" type="pres">
      <dgm:prSet presAssocID="{1C7FAA69-C492-481C-8527-61420FDA3CFF}" presName="spaceB" presStyleCnt="0"/>
      <dgm:spPr/>
    </dgm:pt>
    <dgm:pt modelId="{D9A509C8-4671-41F7-861C-E87CB2107536}" type="pres">
      <dgm:prSet presAssocID="{75BB7AAF-E765-49A0-B2EB-0A58A44DC84F}" presName="space" presStyleCnt="0"/>
      <dgm:spPr/>
    </dgm:pt>
    <dgm:pt modelId="{BC67DEFE-E919-40E1-8368-81B833DF3F37}" type="pres">
      <dgm:prSet presAssocID="{DA4F44B5-2E23-49B1-9DAA-CEA16CDEF7D3}" presName="compositeA" presStyleCnt="0"/>
      <dgm:spPr/>
    </dgm:pt>
    <dgm:pt modelId="{95CAE90D-D091-4C96-986D-BBA75ED26D37}" type="pres">
      <dgm:prSet presAssocID="{DA4F44B5-2E23-49B1-9DAA-CEA16CDEF7D3}" presName="textA" presStyleLbl="revTx" presStyleIdx="2" presStyleCnt="5">
        <dgm:presLayoutVars>
          <dgm:bulletEnabled val="1"/>
        </dgm:presLayoutVars>
      </dgm:prSet>
      <dgm:spPr>
        <a:prstGeom prst="roundRect">
          <a:avLst/>
        </a:prstGeom>
      </dgm:spPr>
    </dgm:pt>
    <dgm:pt modelId="{DD89982F-D105-415D-BAEA-164E6874E642}" type="pres">
      <dgm:prSet presAssocID="{DA4F44B5-2E23-49B1-9DAA-CEA16CDEF7D3}" presName="circleA" presStyleLbl="node1" presStyleIdx="2" presStyleCnt="5"/>
      <dgm:spPr/>
    </dgm:pt>
    <dgm:pt modelId="{691D9457-A676-4E31-A63B-801A65AF10FA}" type="pres">
      <dgm:prSet presAssocID="{DA4F44B5-2E23-49B1-9DAA-CEA16CDEF7D3}" presName="spaceA" presStyleCnt="0"/>
      <dgm:spPr/>
    </dgm:pt>
    <dgm:pt modelId="{8235D37C-682E-4F11-8696-9FDB5854485F}" type="pres">
      <dgm:prSet presAssocID="{5267CA6F-9CBD-4453-9B5E-7EE20B00ECFB}" presName="space" presStyleCnt="0"/>
      <dgm:spPr/>
    </dgm:pt>
    <dgm:pt modelId="{B451261C-4BAC-4020-B0C1-586555E825B9}" type="pres">
      <dgm:prSet presAssocID="{EF6867A3-AEAB-44DB-A760-EEB72FEFEA10}" presName="compositeB" presStyleCnt="0"/>
      <dgm:spPr/>
    </dgm:pt>
    <dgm:pt modelId="{2A10B69A-634F-4707-845E-09D85E507F5D}" type="pres">
      <dgm:prSet presAssocID="{EF6867A3-AEAB-44DB-A760-EEB72FEFEA10}" presName="textB" presStyleLbl="revTx" presStyleIdx="3" presStyleCnt="5">
        <dgm:presLayoutVars>
          <dgm:bulletEnabled val="1"/>
        </dgm:presLayoutVars>
      </dgm:prSet>
      <dgm:spPr>
        <a:prstGeom prst="roundRect">
          <a:avLst/>
        </a:prstGeom>
      </dgm:spPr>
    </dgm:pt>
    <dgm:pt modelId="{A16A092B-5AF7-4E84-A6A6-D97276E3F129}" type="pres">
      <dgm:prSet presAssocID="{EF6867A3-AEAB-44DB-A760-EEB72FEFEA10}" presName="circleB" presStyleLbl="node1" presStyleIdx="3" presStyleCnt="5"/>
      <dgm:spPr/>
    </dgm:pt>
    <dgm:pt modelId="{E0F4BB8D-313A-4BD4-B620-8C67F81EB414}" type="pres">
      <dgm:prSet presAssocID="{EF6867A3-AEAB-44DB-A760-EEB72FEFEA10}" presName="spaceB" presStyleCnt="0"/>
      <dgm:spPr/>
    </dgm:pt>
    <dgm:pt modelId="{6913388A-CE05-40AB-930E-C93FD79F3401}" type="pres">
      <dgm:prSet presAssocID="{DDF3F0E4-9360-42CE-91DB-6F34FA89F0C6}" presName="space" presStyleCnt="0"/>
      <dgm:spPr/>
    </dgm:pt>
    <dgm:pt modelId="{423D2B96-180A-4EF2-A0EA-D01C17BB8AA3}" type="pres">
      <dgm:prSet presAssocID="{F2C73FC9-B13D-4D3E-9B46-E859295CB0C7}" presName="compositeA" presStyleCnt="0"/>
      <dgm:spPr/>
    </dgm:pt>
    <dgm:pt modelId="{D5B35D1C-C8A9-42AB-B4C9-BD321EC5799C}" type="pres">
      <dgm:prSet presAssocID="{F2C73FC9-B13D-4D3E-9B46-E859295CB0C7}" presName="textA" presStyleLbl="revTx" presStyleIdx="4" presStyleCnt="5">
        <dgm:presLayoutVars>
          <dgm:bulletEnabled val="1"/>
        </dgm:presLayoutVars>
      </dgm:prSet>
      <dgm:spPr>
        <a:prstGeom prst="roundRect">
          <a:avLst/>
        </a:prstGeom>
      </dgm:spPr>
    </dgm:pt>
    <dgm:pt modelId="{1F8BAFAF-289C-412D-B46E-2EEC694AA817}" type="pres">
      <dgm:prSet presAssocID="{F2C73FC9-B13D-4D3E-9B46-E859295CB0C7}" presName="circleA" presStyleLbl="node1" presStyleIdx="4" presStyleCnt="5"/>
      <dgm:spPr/>
    </dgm:pt>
    <dgm:pt modelId="{85F5A8E5-6167-4026-A212-12C99C298A1C}" type="pres">
      <dgm:prSet presAssocID="{F2C73FC9-B13D-4D3E-9B46-E859295CB0C7}" presName="spaceA" presStyleCnt="0"/>
      <dgm:spPr/>
    </dgm:pt>
  </dgm:ptLst>
  <dgm:cxnLst>
    <dgm:cxn modelId="{85628E0A-B2C5-4A43-9564-01C43BD94F3C}" type="presOf" srcId="{DF473CD0-2437-47CD-AE92-5888F1CDEC2F}" destId="{FE220BB0-0AE4-4B15-9BFE-ACAAF0F518C3}" srcOrd="0" destOrd="0" presId="urn:microsoft.com/office/officeart/2005/8/layout/hProcess11"/>
    <dgm:cxn modelId="{83BBCC2D-3DE7-4EFA-ABD9-8279F7E19FE6}" type="presOf" srcId="{DA4F44B5-2E23-49B1-9DAA-CEA16CDEF7D3}" destId="{95CAE90D-D091-4C96-986D-BBA75ED26D37}" srcOrd="0" destOrd="0" presId="urn:microsoft.com/office/officeart/2005/8/layout/hProcess11"/>
    <dgm:cxn modelId="{4A982435-0F69-4D75-8FDB-7234503789DD}" srcId="{DF473CD0-2437-47CD-AE92-5888F1CDEC2F}" destId="{EF6867A3-AEAB-44DB-A760-EEB72FEFEA10}" srcOrd="3" destOrd="0" parTransId="{0EB80CE4-7797-4E13-AC0B-D3D53612B4EC}" sibTransId="{DDF3F0E4-9360-42CE-91DB-6F34FA89F0C6}"/>
    <dgm:cxn modelId="{1233654D-BD00-4700-A22B-435942AA0025}" type="presOf" srcId="{FE2D6ACF-93C7-4510-AA80-C6EC3C6B00F0}" destId="{C8C24C41-6D5D-4B1A-B4CE-3AF95FA1DE2F}" srcOrd="0" destOrd="0" presId="urn:microsoft.com/office/officeart/2005/8/layout/hProcess11"/>
    <dgm:cxn modelId="{4AEB2750-42F3-45C3-890B-6A2637CCBE23}" srcId="{DF473CD0-2437-47CD-AE92-5888F1CDEC2F}" destId="{DA4F44B5-2E23-49B1-9DAA-CEA16CDEF7D3}" srcOrd="2" destOrd="0" parTransId="{5C74ECB0-72C1-43B6-9117-0E6EA317442D}" sibTransId="{5267CA6F-9CBD-4453-9B5E-7EE20B00ECFB}"/>
    <dgm:cxn modelId="{0698E188-A842-4242-ADAC-83E5CCD8D7DE}" type="presOf" srcId="{EF6867A3-AEAB-44DB-A760-EEB72FEFEA10}" destId="{2A10B69A-634F-4707-845E-09D85E507F5D}" srcOrd="0" destOrd="0" presId="urn:microsoft.com/office/officeart/2005/8/layout/hProcess11"/>
    <dgm:cxn modelId="{C7AE03A5-FB53-480E-9D90-B180D5F028E8}" type="presOf" srcId="{1C7FAA69-C492-481C-8527-61420FDA3CFF}" destId="{E8B3D0B1-2DD2-42A7-A7AB-805BDC1A393A}" srcOrd="0" destOrd="0" presId="urn:microsoft.com/office/officeart/2005/8/layout/hProcess11"/>
    <dgm:cxn modelId="{950392CE-1FD8-451A-A22D-0B08D32C41E6}" type="presOf" srcId="{F2C73FC9-B13D-4D3E-9B46-E859295CB0C7}" destId="{D5B35D1C-C8A9-42AB-B4C9-BD321EC5799C}" srcOrd="0" destOrd="0" presId="urn:microsoft.com/office/officeart/2005/8/layout/hProcess11"/>
    <dgm:cxn modelId="{21A848D9-38C4-46A7-A64D-E546B5CA7C9F}" srcId="{DF473CD0-2437-47CD-AE92-5888F1CDEC2F}" destId="{1C7FAA69-C492-481C-8527-61420FDA3CFF}" srcOrd="1" destOrd="0" parTransId="{E67DC186-48DE-447B-89CD-AFD304A8CAD1}" sibTransId="{75BB7AAF-E765-49A0-B2EB-0A58A44DC84F}"/>
    <dgm:cxn modelId="{689950F3-A4CA-42D9-84CA-3AE3F6225F78}" srcId="{DF473CD0-2437-47CD-AE92-5888F1CDEC2F}" destId="{FE2D6ACF-93C7-4510-AA80-C6EC3C6B00F0}" srcOrd="0" destOrd="0" parTransId="{1CC90844-DE4E-4897-AE97-08EDD6E40C96}" sibTransId="{CC57436C-0115-433C-AD19-92F1FD91A392}"/>
    <dgm:cxn modelId="{273786F3-A6AF-4602-AFCE-0B0D26046065}" srcId="{DF473CD0-2437-47CD-AE92-5888F1CDEC2F}" destId="{F2C73FC9-B13D-4D3E-9B46-E859295CB0C7}" srcOrd="4" destOrd="0" parTransId="{D6BA5250-2D86-43B7-AE4E-D64A1B34E2AC}" sibTransId="{3DE34E39-0A9B-41D7-A960-F07CF9915C6B}"/>
    <dgm:cxn modelId="{5D34F15A-F9DE-4EA8-A14A-E519FDD61840}" type="presParOf" srcId="{FE220BB0-0AE4-4B15-9BFE-ACAAF0F518C3}" destId="{C07BC2D8-5649-4440-8EFB-482FDC66F94D}" srcOrd="0" destOrd="0" presId="urn:microsoft.com/office/officeart/2005/8/layout/hProcess11"/>
    <dgm:cxn modelId="{EE221BB2-5B64-45F9-A06B-2D6C85EAADE4}" type="presParOf" srcId="{FE220BB0-0AE4-4B15-9BFE-ACAAF0F518C3}" destId="{9E74E236-AAE7-424A-B71F-0DB1B5251FE8}" srcOrd="1" destOrd="0" presId="urn:microsoft.com/office/officeart/2005/8/layout/hProcess11"/>
    <dgm:cxn modelId="{C8D27458-FCB3-4793-954D-B55AEBD47DF9}" type="presParOf" srcId="{9E74E236-AAE7-424A-B71F-0DB1B5251FE8}" destId="{1777A3F6-9634-42B5-9453-E1C3E1538D5A}" srcOrd="0" destOrd="0" presId="urn:microsoft.com/office/officeart/2005/8/layout/hProcess11"/>
    <dgm:cxn modelId="{6A2F33B9-8D59-45CA-928A-D46D54D446C4}" type="presParOf" srcId="{1777A3F6-9634-42B5-9453-E1C3E1538D5A}" destId="{C8C24C41-6D5D-4B1A-B4CE-3AF95FA1DE2F}" srcOrd="0" destOrd="0" presId="urn:microsoft.com/office/officeart/2005/8/layout/hProcess11"/>
    <dgm:cxn modelId="{1D37006B-02B7-4537-BF06-16D480AFF5E6}" type="presParOf" srcId="{1777A3F6-9634-42B5-9453-E1C3E1538D5A}" destId="{17629CC8-01C8-4A25-A169-0D9CC5F110C6}" srcOrd="1" destOrd="0" presId="urn:microsoft.com/office/officeart/2005/8/layout/hProcess11"/>
    <dgm:cxn modelId="{81058673-408F-423B-B7F5-0968F79D9B73}" type="presParOf" srcId="{1777A3F6-9634-42B5-9453-E1C3E1538D5A}" destId="{0EB298A4-E74C-446E-98B4-7253BFFF07DF}" srcOrd="2" destOrd="0" presId="urn:microsoft.com/office/officeart/2005/8/layout/hProcess11"/>
    <dgm:cxn modelId="{37400F55-0A91-4420-9599-4DB44B507D4C}" type="presParOf" srcId="{9E74E236-AAE7-424A-B71F-0DB1B5251FE8}" destId="{3E738885-9535-4598-AF0D-B92503A08BD0}" srcOrd="1" destOrd="0" presId="urn:microsoft.com/office/officeart/2005/8/layout/hProcess11"/>
    <dgm:cxn modelId="{3380CF4A-F516-4EA0-B369-3563320680FA}" type="presParOf" srcId="{9E74E236-AAE7-424A-B71F-0DB1B5251FE8}" destId="{888927BE-4A9F-424B-A533-A12DD5D14C26}" srcOrd="2" destOrd="0" presId="urn:microsoft.com/office/officeart/2005/8/layout/hProcess11"/>
    <dgm:cxn modelId="{E0B3A9A4-D473-459B-834F-829F806A9722}" type="presParOf" srcId="{888927BE-4A9F-424B-A533-A12DD5D14C26}" destId="{E8B3D0B1-2DD2-42A7-A7AB-805BDC1A393A}" srcOrd="0" destOrd="0" presId="urn:microsoft.com/office/officeart/2005/8/layout/hProcess11"/>
    <dgm:cxn modelId="{1EA9D6BA-F4FA-4364-BB36-7CCEAD00C2DE}" type="presParOf" srcId="{888927BE-4A9F-424B-A533-A12DD5D14C26}" destId="{5FC95F41-E1F5-4B88-9EA8-E84B73CAABF4}" srcOrd="1" destOrd="0" presId="urn:microsoft.com/office/officeart/2005/8/layout/hProcess11"/>
    <dgm:cxn modelId="{54B734FD-5AF7-49AC-A04C-C9BF8BF7F3AC}" type="presParOf" srcId="{888927BE-4A9F-424B-A533-A12DD5D14C26}" destId="{F7E80143-8C00-44AB-95AE-FF50701B54C8}" srcOrd="2" destOrd="0" presId="urn:microsoft.com/office/officeart/2005/8/layout/hProcess11"/>
    <dgm:cxn modelId="{F3809DFF-0148-4C86-A154-A48CCFC2EF3A}" type="presParOf" srcId="{9E74E236-AAE7-424A-B71F-0DB1B5251FE8}" destId="{D9A509C8-4671-41F7-861C-E87CB2107536}" srcOrd="3" destOrd="0" presId="urn:microsoft.com/office/officeart/2005/8/layout/hProcess11"/>
    <dgm:cxn modelId="{2736EE15-D57D-4274-807B-13D55F9DAE4B}" type="presParOf" srcId="{9E74E236-AAE7-424A-B71F-0DB1B5251FE8}" destId="{BC67DEFE-E919-40E1-8368-81B833DF3F37}" srcOrd="4" destOrd="0" presId="urn:microsoft.com/office/officeart/2005/8/layout/hProcess11"/>
    <dgm:cxn modelId="{7B4546B9-679C-43AE-B126-D43B57204B7A}" type="presParOf" srcId="{BC67DEFE-E919-40E1-8368-81B833DF3F37}" destId="{95CAE90D-D091-4C96-986D-BBA75ED26D37}" srcOrd="0" destOrd="0" presId="urn:microsoft.com/office/officeart/2005/8/layout/hProcess11"/>
    <dgm:cxn modelId="{307C14E5-7E3C-48DF-9AA7-9C6FF2F2CE0C}" type="presParOf" srcId="{BC67DEFE-E919-40E1-8368-81B833DF3F37}" destId="{DD89982F-D105-415D-BAEA-164E6874E642}" srcOrd="1" destOrd="0" presId="urn:microsoft.com/office/officeart/2005/8/layout/hProcess11"/>
    <dgm:cxn modelId="{51B7BBBA-DCAC-42E1-B18A-6DA079F87CD1}" type="presParOf" srcId="{BC67DEFE-E919-40E1-8368-81B833DF3F37}" destId="{691D9457-A676-4E31-A63B-801A65AF10FA}" srcOrd="2" destOrd="0" presId="urn:microsoft.com/office/officeart/2005/8/layout/hProcess11"/>
    <dgm:cxn modelId="{51D2C248-6CE4-43AB-BF85-ED04EA2A0A9E}" type="presParOf" srcId="{9E74E236-AAE7-424A-B71F-0DB1B5251FE8}" destId="{8235D37C-682E-4F11-8696-9FDB5854485F}" srcOrd="5" destOrd="0" presId="urn:microsoft.com/office/officeart/2005/8/layout/hProcess11"/>
    <dgm:cxn modelId="{C205B45E-F241-4AA7-B43C-DA4A50666D4E}" type="presParOf" srcId="{9E74E236-AAE7-424A-B71F-0DB1B5251FE8}" destId="{B451261C-4BAC-4020-B0C1-586555E825B9}" srcOrd="6" destOrd="0" presId="urn:microsoft.com/office/officeart/2005/8/layout/hProcess11"/>
    <dgm:cxn modelId="{B767A86E-EA7F-4906-B75C-284FCA69B7F3}" type="presParOf" srcId="{B451261C-4BAC-4020-B0C1-586555E825B9}" destId="{2A10B69A-634F-4707-845E-09D85E507F5D}" srcOrd="0" destOrd="0" presId="urn:microsoft.com/office/officeart/2005/8/layout/hProcess11"/>
    <dgm:cxn modelId="{1F1D1050-F592-4711-8A5A-C84DA441C5A8}" type="presParOf" srcId="{B451261C-4BAC-4020-B0C1-586555E825B9}" destId="{A16A092B-5AF7-4E84-A6A6-D97276E3F129}" srcOrd="1" destOrd="0" presId="urn:microsoft.com/office/officeart/2005/8/layout/hProcess11"/>
    <dgm:cxn modelId="{8134026C-63E4-486D-87CF-2C4576027BA8}" type="presParOf" srcId="{B451261C-4BAC-4020-B0C1-586555E825B9}" destId="{E0F4BB8D-313A-4BD4-B620-8C67F81EB414}" srcOrd="2" destOrd="0" presId="urn:microsoft.com/office/officeart/2005/8/layout/hProcess11"/>
    <dgm:cxn modelId="{8EFF4F61-7346-4670-B820-D1CBBE1230F8}" type="presParOf" srcId="{9E74E236-AAE7-424A-B71F-0DB1B5251FE8}" destId="{6913388A-CE05-40AB-930E-C93FD79F3401}" srcOrd="7" destOrd="0" presId="urn:microsoft.com/office/officeart/2005/8/layout/hProcess11"/>
    <dgm:cxn modelId="{1EA6DB0C-E659-4A68-86C9-10965D5FA4FB}" type="presParOf" srcId="{9E74E236-AAE7-424A-B71F-0DB1B5251FE8}" destId="{423D2B96-180A-4EF2-A0EA-D01C17BB8AA3}" srcOrd="8" destOrd="0" presId="urn:microsoft.com/office/officeart/2005/8/layout/hProcess11"/>
    <dgm:cxn modelId="{6D14F0E8-A49F-4DF0-B4B4-3EDF3D5D3E08}" type="presParOf" srcId="{423D2B96-180A-4EF2-A0EA-D01C17BB8AA3}" destId="{D5B35D1C-C8A9-42AB-B4C9-BD321EC5799C}" srcOrd="0" destOrd="0" presId="urn:microsoft.com/office/officeart/2005/8/layout/hProcess11"/>
    <dgm:cxn modelId="{D0FE2847-A170-4286-B36C-7C132E45DDCF}" type="presParOf" srcId="{423D2B96-180A-4EF2-A0EA-D01C17BB8AA3}" destId="{1F8BAFAF-289C-412D-B46E-2EEC694AA817}" srcOrd="1" destOrd="0" presId="urn:microsoft.com/office/officeart/2005/8/layout/hProcess11"/>
    <dgm:cxn modelId="{E9E0F478-0212-4CD4-B415-D6D040BACEF6}" type="presParOf" srcId="{423D2B96-180A-4EF2-A0EA-D01C17BB8AA3}" destId="{85F5A8E5-6167-4026-A212-12C99C298A1C}"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7BC2D8-5649-4440-8EFB-482FDC66F94D}">
      <dsp:nvSpPr>
        <dsp:cNvPr id="0" name=""/>
        <dsp:cNvSpPr/>
      </dsp:nvSpPr>
      <dsp:spPr>
        <a:xfrm>
          <a:off x="0" y="228601"/>
          <a:ext cx="8772525" cy="320040"/>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8C24C41-6D5D-4B1A-B4CE-3AF95FA1DE2F}">
      <dsp:nvSpPr>
        <dsp:cNvPr id="0" name=""/>
        <dsp:cNvSpPr/>
      </dsp:nvSpPr>
      <dsp:spPr>
        <a:xfrm>
          <a:off x="3469" y="0"/>
          <a:ext cx="1516987" cy="320040"/>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Y7 - Be Aware </a:t>
          </a:r>
        </a:p>
      </dsp:txBody>
      <dsp:txXfrm>
        <a:off x="19092" y="15623"/>
        <a:ext cx="1485741" cy="288794"/>
      </dsp:txXfrm>
    </dsp:sp>
    <dsp:sp modelId="{17629CC8-01C8-4A25-A169-0D9CC5F110C6}">
      <dsp:nvSpPr>
        <dsp:cNvPr id="0" name=""/>
        <dsp:cNvSpPr/>
      </dsp:nvSpPr>
      <dsp:spPr>
        <a:xfrm>
          <a:off x="721958" y="360045"/>
          <a:ext cx="80010" cy="8001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B3D0B1-2DD2-42A7-A7AB-805BDC1A393A}">
      <dsp:nvSpPr>
        <dsp:cNvPr id="0" name=""/>
        <dsp:cNvSpPr/>
      </dsp:nvSpPr>
      <dsp:spPr>
        <a:xfrm>
          <a:off x="1596306" y="480060"/>
          <a:ext cx="1516987" cy="320040"/>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Y8 - Discover  </a:t>
          </a:r>
        </a:p>
      </dsp:txBody>
      <dsp:txXfrm>
        <a:off x="1611929" y="495683"/>
        <a:ext cx="1485741" cy="288794"/>
      </dsp:txXfrm>
    </dsp:sp>
    <dsp:sp modelId="{5FC95F41-E1F5-4B88-9EA8-E84B73CAABF4}">
      <dsp:nvSpPr>
        <dsp:cNvPr id="0" name=""/>
        <dsp:cNvSpPr/>
      </dsp:nvSpPr>
      <dsp:spPr>
        <a:xfrm>
          <a:off x="2314794" y="360045"/>
          <a:ext cx="80010" cy="8001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AE90D-D091-4C96-986D-BBA75ED26D37}">
      <dsp:nvSpPr>
        <dsp:cNvPr id="0" name=""/>
        <dsp:cNvSpPr/>
      </dsp:nvSpPr>
      <dsp:spPr>
        <a:xfrm>
          <a:off x="3189142" y="0"/>
          <a:ext cx="1516987" cy="320040"/>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Y9 - Prepare</a:t>
          </a:r>
        </a:p>
      </dsp:txBody>
      <dsp:txXfrm>
        <a:off x="3204765" y="15623"/>
        <a:ext cx="1485741" cy="288794"/>
      </dsp:txXfrm>
    </dsp:sp>
    <dsp:sp modelId="{DD89982F-D105-415D-BAEA-164E6874E642}">
      <dsp:nvSpPr>
        <dsp:cNvPr id="0" name=""/>
        <dsp:cNvSpPr/>
      </dsp:nvSpPr>
      <dsp:spPr>
        <a:xfrm>
          <a:off x="3907631" y="360045"/>
          <a:ext cx="80010" cy="8001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0B69A-634F-4707-845E-09D85E507F5D}">
      <dsp:nvSpPr>
        <dsp:cNvPr id="0" name=""/>
        <dsp:cNvSpPr/>
      </dsp:nvSpPr>
      <dsp:spPr>
        <a:xfrm>
          <a:off x="4781979" y="480060"/>
          <a:ext cx="1516987" cy="320040"/>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Y10 - Develop  </a:t>
          </a:r>
        </a:p>
      </dsp:txBody>
      <dsp:txXfrm>
        <a:off x="4797602" y="495683"/>
        <a:ext cx="1485741" cy="288794"/>
      </dsp:txXfrm>
    </dsp:sp>
    <dsp:sp modelId="{A16A092B-5AF7-4E84-A6A6-D97276E3F129}">
      <dsp:nvSpPr>
        <dsp:cNvPr id="0" name=""/>
        <dsp:cNvSpPr/>
      </dsp:nvSpPr>
      <dsp:spPr>
        <a:xfrm>
          <a:off x="5500467" y="360045"/>
          <a:ext cx="80010" cy="8001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B35D1C-C8A9-42AB-B4C9-BD321EC5799C}">
      <dsp:nvSpPr>
        <dsp:cNvPr id="0" name=""/>
        <dsp:cNvSpPr/>
      </dsp:nvSpPr>
      <dsp:spPr>
        <a:xfrm>
          <a:off x="6374815" y="0"/>
          <a:ext cx="1516987" cy="320040"/>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Y11 - Choose  </a:t>
          </a:r>
        </a:p>
      </dsp:txBody>
      <dsp:txXfrm>
        <a:off x="6390438" y="15623"/>
        <a:ext cx="1485741" cy="288794"/>
      </dsp:txXfrm>
    </dsp:sp>
    <dsp:sp modelId="{1F8BAFAF-289C-412D-B46E-2EEC694AA817}">
      <dsp:nvSpPr>
        <dsp:cNvPr id="0" name=""/>
        <dsp:cNvSpPr/>
      </dsp:nvSpPr>
      <dsp:spPr>
        <a:xfrm>
          <a:off x="7093304" y="360045"/>
          <a:ext cx="80010" cy="8001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Robinson</dc:creator>
  <cp:keywords/>
  <dc:description/>
  <cp:lastModifiedBy>Annie Anslow</cp:lastModifiedBy>
  <cp:revision>2</cp:revision>
  <cp:lastPrinted>2020-09-21T10:35:00Z</cp:lastPrinted>
  <dcterms:created xsi:type="dcterms:W3CDTF">2020-11-11T14:42:00Z</dcterms:created>
  <dcterms:modified xsi:type="dcterms:W3CDTF">2020-11-11T14:42:00Z</dcterms:modified>
</cp:coreProperties>
</file>